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2740" w14:textId="77777777" w:rsidR="0087718B" w:rsidRDefault="0087718B">
      <w:pPr>
        <w:pBdr>
          <w:top w:val="none" w:sz="0" w:space="4" w:color="auto"/>
        </w:pBdr>
        <w:spacing w:after="0" w:line="275" w:lineRule="atLeast"/>
        <w:jc w:val="both"/>
      </w:pPr>
      <w:bookmarkStart w:id="0" w:name="Ia277a38c4afa11dabb94a2113632a110_Targe"/>
      <w:bookmarkStart w:id="1" w:name="co_document_1"/>
      <w:bookmarkEnd w:id="0"/>
    </w:p>
    <w:bookmarkEnd w:id="1"/>
    <w:p w14:paraId="1B6A9DE4" w14:textId="77777777" w:rsidR="0087718B" w:rsidRDefault="00E47289">
      <w:pPr>
        <w:spacing w:after="0" w:line="240" w:lineRule="auto"/>
      </w:pPr>
      <w:r>
        <w:rPr>
          <w:rFonts w:ascii="Times New Roman" w:hAnsi="Times New Roman"/>
          <w:b/>
          <w:color w:val="000000"/>
          <w:sz w:val="20"/>
        </w:rPr>
        <w:t xml:space="preserve">14 Wash. </w:t>
      </w:r>
      <w:proofErr w:type="spellStart"/>
      <w:r>
        <w:rPr>
          <w:rFonts w:ascii="Times New Roman" w:hAnsi="Times New Roman"/>
          <w:b/>
          <w:color w:val="000000"/>
          <w:sz w:val="20"/>
        </w:rPr>
        <w:t>Prac</w:t>
      </w:r>
      <w:proofErr w:type="spellEnd"/>
      <w:r>
        <w:rPr>
          <w:rFonts w:ascii="Times New Roman" w:hAnsi="Times New Roman"/>
          <w:b/>
          <w:color w:val="000000"/>
          <w:sz w:val="20"/>
        </w:rPr>
        <w:t>., Civil Procedure § 15:9 (3d ed.)</w:t>
      </w:r>
    </w:p>
    <w:p w14:paraId="6437ECEC" w14:textId="77777777" w:rsidR="0087718B" w:rsidRDefault="00E47289">
      <w:pPr>
        <w:spacing w:before="332" w:after="0" w:line="240" w:lineRule="auto"/>
      </w:pPr>
      <w:r>
        <w:rPr>
          <w:rFonts w:ascii="Times New Roman" w:hAnsi="Times New Roman"/>
          <w:b/>
          <w:color w:val="6B6B6A"/>
          <w:sz w:val="18"/>
        </w:rPr>
        <w:t>Washington Practice Series TM</w:t>
      </w:r>
      <w:r>
        <w:rPr>
          <w:rFonts w:ascii="Times New Roman" w:hAnsi="Times New Roman"/>
          <w:color w:val="E8E9E8"/>
          <w:sz w:val="18"/>
        </w:rPr>
        <w:t xml:space="preserve"> | </w:t>
      </w:r>
      <w:r>
        <w:rPr>
          <w:rFonts w:ascii="Times New Roman" w:hAnsi="Times New Roman"/>
          <w:color w:val="6B6B6A"/>
          <w:sz w:val="18"/>
        </w:rPr>
        <w:t>March 2024 Update</w:t>
      </w:r>
    </w:p>
    <w:p w14:paraId="5089034F" w14:textId="77777777" w:rsidR="0087718B" w:rsidRDefault="00E47289">
      <w:pPr>
        <w:spacing w:before="182" w:after="0" w:line="240" w:lineRule="auto"/>
      </w:pPr>
      <w:r>
        <w:rPr>
          <w:rFonts w:ascii="Times New Roman" w:hAnsi="Times New Roman"/>
          <w:b/>
          <w:color w:val="6B6B6A"/>
          <w:sz w:val="18"/>
        </w:rPr>
        <w:t>Civil Procedure</w:t>
      </w:r>
    </w:p>
    <w:p w14:paraId="3350C4EB" w14:textId="77777777" w:rsidR="0087718B" w:rsidRDefault="00E47289">
      <w:pPr>
        <w:spacing w:after="0" w:line="240" w:lineRule="auto"/>
      </w:pPr>
      <w:r>
        <w:rPr>
          <w:rFonts w:ascii="Times New Roman" w:hAnsi="Times New Roman"/>
          <w:color w:val="6B6B6A"/>
          <w:sz w:val="18"/>
        </w:rPr>
        <w:t>Douglas J. Ende</w:t>
      </w:r>
      <w:bookmarkStart w:id="2" w:name="co_fnRef_I9b3dc851e60011ee9332940182314"/>
      <w:r>
        <w:fldChar w:fldCharType="begin"/>
      </w:r>
      <w:r>
        <w:instrText>HYPERLINK \l "co_footnote_I9b3dc851e60011ee9332940182" \h</w:instrText>
      </w:r>
      <w:r>
        <w:fldChar w:fldCharType="separate"/>
      </w:r>
      <w:r>
        <w:rPr>
          <w:rFonts w:ascii="Times New Roman" w:hAnsi="Times New Roman"/>
          <w:color w:val="0E568C"/>
          <w:sz w:val="16"/>
          <w:vertAlign w:val="superscript"/>
        </w:rPr>
        <w:t>a0</w:t>
      </w:r>
      <w:r>
        <w:rPr>
          <w:rFonts w:ascii="Times New Roman" w:hAnsi="Times New Roman"/>
          <w:color w:val="0E568C"/>
          <w:sz w:val="16"/>
          <w:vertAlign w:val="superscript"/>
        </w:rPr>
        <w:fldChar w:fldCharType="end"/>
      </w:r>
      <w:bookmarkEnd w:id="2"/>
    </w:p>
    <w:p w14:paraId="3C9F2F55" w14:textId="77777777" w:rsidR="0087718B" w:rsidRDefault="00E47289">
      <w:pPr>
        <w:spacing w:before="332" w:after="0" w:line="240" w:lineRule="auto"/>
      </w:pPr>
      <w:r>
        <w:rPr>
          <w:rFonts w:ascii="Times New Roman" w:hAnsi="Times New Roman"/>
          <w:b/>
          <w:color w:val="6B6B6A"/>
          <w:sz w:val="18"/>
        </w:rPr>
        <w:t>E. Discovery and Related Matters</w:t>
      </w:r>
    </w:p>
    <w:p w14:paraId="41E7A00D" w14:textId="77777777" w:rsidR="0087718B" w:rsidRDefault="00E47289">
      <w:pPr>
        <w:spacing w:before="182" w:after="0" w:line="240" w:lineRule="auto"/>
      </w:pPr>
      <w:r>
        <w:rPr>
          <w:rFonts w:ascii="Times New Roman" w:hAnsi="Times New Roman"/>
          <w:b/>
          <w:color w:val="6B6B6A"/>
          <w:sz w:val="18"/>
        </w:rPr>
        <w:t>Chapter 15. Interrogatories</w:t>
      </w:r>
    </w:p>
    <w:p w14:paraId="6DF3FA32" w14:textId="77777777" w:rsidR="0087718B" w:rsidRDefault="00E47289">
      <w:pPr>
        <w:spacing w:before="632" w:after="0" w:line="240" w:lineRule="auto"/>
      </w:pPr>
      <w:r>
        <w:rPr>
          <w:rFonts w:ascii="Times New Roman" w:hAnsi="Times New Roman"/>
          <w:color w:val="000000"/>
          <w:sz w:val="36"/>
        </w:rPr>
        <w:t>§ 15:9. Nature of responses—Proper objections</w:t>
      </w:r>
    </w:p>
    <w:p w14:paraId="43D24A72" w14:textId="77777777" w:rsidR="0087718B" w:rsidRDefault="00E47289">
      <w:pPr>
        <w:spacing w:before="375" w:after="0" w:line="240" w:lineRule="auto"/>
        <w:jc w:val="both"/>
      </w:pPr>
      <w:r>
        <w:rPr>
          <w:rFonts w:ascii="Times New Roman" w:hAnsi="Times New Roman"/>
          <w:color w:val="000000"/>
          <w:sz w:val="20"/>
        </w:rPr>
        <w:t>Objections must be stated with specificity and supported by a detailed explanation as to why the interrogatory (or a class of interrogatories) is objectionable.</w:t>
      </w:r>
      <w:bookmarkStart w:id="3" w:name="co_fnRef_I9b3def60e60011ee9332940182314"/>
      <w:r>
        <w:fldChar w:fldCharType="begin"/>
      </w:r>
      <w:r>
        <w:instrText>HYPERLINK \l "co_footnote_I9b3def60e60011ee9332940182" \h</w:instrText>
      </w:r>
      <w:r>
        <w:fldChar w:fldCharType="separate"/>
      </w:r>
      <w:r>
        <w:rPr>
          <w:rFonts w:ascii="Times New Roman" w:hAnsi="Times New Roman"/>
          <w:color w:val="0E568C"/>
          <w:sz w:val="16"/>
          <w:vertAlign w:val="superscript"/>
        </w:rPr>
        <w:t>1</w:t>
      </w:r>
      <w:r>
        <w:rPr>
          <w:rFonts w:ascii="Times New Roman" w:hAnsi="Times New Roman"/>
          <w:color w:val="0E568C"/>
          <w:sz w:val="16"/>
          <w:vertAlign w:val="superscript"/>
        </w:rPr>
        <w:fldChar w:fldCharType="end"/>
      </w:r>
      <w:bookmarkEnd w:id="3"/>
      <w:r>
        <w:rPr>
          <w:rFonts w:ascii="Times New Roman" w:hAnsi="Times New Roman"/>
          <w:color w:val="000000"/>
          <w:sz w:val="20"/>
        </w:rPr>
        <w:t xml:space="preserve"> If only part of an interrogatory is objectionable, the responding party must answer the interrogatory to the extent that it is not objectionable. The objections that may be raised are the same as those interposed in connection with other written discovery methods. Typical objections include:</w:t>
      </w:r>
    </w:p>
    <w:p w14:paraId="757EE209" w14:textId="77777777" w:rsidR="0087718B" w:rsidRDefault="00E47289">
      <w:pPr>
        <w:tabs>
          <w:tab w:val="left" w:pos="425"/>
        </w:tabs>
        <w:spacing w:before="200" w:after="0" w:line="240" w:lineRule="auto"/>
        <w:ind w:left="425" w:hanging="425"/>
        <w:jc w:val="both"/>
      </w:pPr>
      <w:r>
        <w:rPr>
          <w:rFonts w:ascii="Times New Roman" w:hAnsi="Times New Roman"/>
          <w:color w:val="000000"/>
          <w:sz w:val="20"/>
        </w:rPr>
        <w:t> </w:t>
      </w:r>
      <w:r>
        <w:rPr>
          <w:rFonts w:ascii="Times New Roman" w:hAnsi="Times New Roman"/>
          <w:color w:val="000000"/>
          <w:sz w:val="20"/>
        </w:rPr>
        <w:tab/>
        <w:t xml:space="preserve">(a) </w:t>
      </w:r>
      <w:r>
        <w:rPr>
          <w:rFonts w:ascii="Times New Roman" w:hAnsi="Times New Roman"/>
          <w:i/>
          <w:color w:val="000000"/>
          <w:sz w:val="20"/>
        </w:rPr>
        <w:t>Overbreadth, vagueness, and/or ambiguity</w:t>
      </w:r>
      <w:r>
        <w:rPr>
          <w:rFonts w:ascii="Times New Roman" w:hAnsi="Times New Roman"/>
          <w:color w:val="000000"/>
          <w:sz w:val="20"/>
        </w:rPr>
        <w:t>. The responding party may object if lack of clarity inherent in the question renders the question subject to numerous reasonable interpretations or if the question is written so broadly that it can reasonably be interpreted to seek irrelevant or otherwise undiscoverable information.</w:t>
      </w:r>
      <w:bookmarkStart w:id="4" w:name="co_fnRef_I9b3def61e60011ee9332940182314"/>
      <w:r>
        <w:fldChar w:fldCharType="begin"/>
      </w:r>
      <w:r>
        <w:instrText>HYPERLINK \l "co_footnote_I9b3def61e60011ee9332940182" \h</w:instrText>
      </w:r>
      <w:r>
        <w:fldChar w:fldCharType="separate"/>
      </w:r>
      <w:r>
        <w:rPr>
          <w:rFonts w:ascii="Times New Roman" w:hAnsi="Times New Roman"/>
          <w:color w:val="0E568C"/>
          <w:sz w:val="16"/>
          <w:vertAlign w:val="superscript"/>
        </w:rPr>
        <w:t>2</w:t>
      </w:r>
      <w:r>
        <w:rPr>
          <w:rFonts w:ascii="Times New Roman" w:hAnsi="Times New Roman"/>
          <w:color w:val="0E568C"/>
          <w:sz w:val="16"/>
          <w:vertAlign w:val="superscript"/>
        </w:rPr>
        <w:fldChar w:fldCharType="end"/>
      </w:r>
      <w:bookmarkEnd w:id="4"/>
      <w:r>
        <w:rPr>
          <w:rFonts w:ascii="Times New Roman" w:hAnsi="Times New Roman"/>
          <w:color w:val="000000"/>
          <w:sz w:val="20"/>
        </w:rPr>
        <w:t xml:space="preserve"> Whether a request for information is overbroad will depend on the scope of the issues in dispute.</w:t>
      </w:r>
      <w:bookmarkStart w:id="5" w:name="co_fnRef_I9b3def62e60011ee9332940182314"/>
      <w:r>
        <w:fldChar w:fldCharType="begin"/>
      </w:r>
      <w:r>
        <w:instrText>HYPERLINK \l "co_footnote_I9b3def62e60011ee9332940182" \h</w:instrText>
      </w:r>
      <w:r>
        <w:fldChar w:fldCharType="separate"/>
      </w:r>
      <w:r>
        <w:rPr>
          <w:rFonts w:ascii="Times New Roman" w:hAnsi="Times New Roman"/>
          <w:color w:val="0E568C"/>
          <w:sz w:val="16"/>
          <w:vertAlign w:val="superscript"/>
        </w:rPr>
        <w:t>3</w:t>
      </w:r>
      <w:r>
        <w:rPr>
          <w:rFonts w:ascii="Times New Roman" w:hAnsi="Times New Roman"/>
          <w:color w:val="0E568C"/>
          <w:sz w:val="16"/>
          <w:vertAlign w:val="superscript"/>
        </w:rPr>
        <w:fldChar w:fldCharType="end"/>
      </w:r>
      <w:bookmarkEnd w:id="5"/>
    </w:p>
    <w:p w14:paraId="1FB25F52" w14:textId="77777777" w:rsidR="0087718B" w:rsidRDefault="00E47289">
      <w:pPr>
        <w:tabs>
          <w:tab w:val="left" w:pos="425"/>
        </w:tabs>
        <w:spacing w:before="75" w:after="0" w:line="240" w:lineRule="auto"/>
        <w:ind w:left="425" w:hanging="425"/>
        <w:jc w:val="both"/>
      </w:pPr>
      <w:r>
        <w:rPr>
          <w:rFonts w:ascii="Times New Roman" w:hAnsi="Times New Roman"/>
          <w:color w:val="000000"/>
          <w:sz w:val="20"/>
        </w:rPr>
        <w:t> </w:t>
      </w:r>
      <w:r>
        <w:rPr>
          <w:rFonts w:ascii="Times New Roman" w:hAnsi="Times New Roman"/>
          <w:color w:val="000000"/>
          <w:sz w:val="20"/>
        </w:rPr>
        <w:tab/>
        <w:t xml:space="preserve">(b) </w:t>
      </w:r>
      <w:r>
        <w:rPr>
          <w:rFonts w:ascii="Times New Roman" w:hAnsi="Times New Roman"/>
          <w:i/>
          <w:color w:val="000000"/>
          <w:sz w:val="20"/>
        </w:rPr>
        <w:t>Burdensome and oppressive</w:t>
      </w:r>
      <w:r>
        <w:rPr>
          <w:rFonts w:ascii="Times New Roman" w:hAnsi="Times New Roman"/>
          <w:color w:val="000000"/>
          <w:sz w:val="20"/>
        </w:rPr>
        <w:t xml:space="preserve">. The responding party may object if producing the requested information would involve undue effort or expense. In making a decision regarding undue burden, the court will balance the </w:t>
      </w:r>
      <w:r>
        <w:rPr>
          <w:rFonts w:ascii="Times New Roman" w:hAnsi="Times New Roman"/>
          <w:color w:val="000000"/>
          <w:sz w:val="20"/>
        </w:rPr>
        <w:t>burden on the responding party to ascertain the information against the benefit to the propounding party of having the information.</w:t>
      </w:r>
      <w:bookmarkStart w:id="6" w:name="co_fnRef_I9b3def63e60011ee9332940182314"/>
      <w:r>
        <w:fldChar w:fldCharType="begin"/>
      </w:r>
      <w:r>
        <w:instrText>HYPERLINK \l "co_footnote_I9b3def63e60011ee9332940182" \h</w:instrText>
      </w:r>
      <w:r>
        <w:fldChar w:fldCharType="separate"/>
      </w:r>
      <w:r>
        <w:rPr>
          <w:rFonts w:ascii="Times New Roman" w:hAnsi="Times New Roman"/>
          <w:color w:val="0E568C"/>
          <w:sz w:val="16"/>
          <w:vertAlign w:val="superscript"/>
        </w:rPr>
        <w:t>4</w:t>
      </w:r>
      <w:r>
        <w:rPr>
          <w:rFonts w:ascii="Times New Roman" w:hAnsi="Times New Roman"/>
          <w:color w:val="0E568C"/>
          <w:sz w:val="16"/>
          <w:vertAlign w:val="superscript"/>
        </w:rPr>
        <w:fldChar w:fldCharType="end"/>
      </w:r>
      <w:bookmarkEnd w:id="6"/>
    </w:p>
    <w:p w14:paraId="18FF7D92" w14:textId="77777777" w:rsidR="0087718B" w:rsidRDefault="00E47289">
      <w:pPr>
        <w:tabs>
          <w:tab w:val="left" w:pos="425"/>
        </w:tabs>
        <w:spacing w:before="75" w:after="0" w:line="240" w:lineRule="auto"/>
        <w:ind w:left="425" w:hanging="425"/>
        <w:jc w:val="both"/>
      </w:pPr>
      <w:r>
        <w:rPr>
          <w:rFonts w:ascii="Times New Roman" w:hAnsi="Times New Roman"/>
          <w:color w:val="000000"/>
          <w:sz w:val="20"/>
        </w:rPr>
        <w:t> </w:t>
      </w:r>
      <w:r>
        <w:rPr>
          <w:rFonts w:ascii="Times New Roman" w:hAnsi="Times New Roman"/>
          <w:color w:val="000000"/>
          <w:sz w:val="20"/>
        </w:rPr>
        <w:tab/>
        <w:t xml:space="preserve">(c) </w:t>
      </w:r>
      <w:r>
        <w:rPr>
          <w:rFonts w:ascii="Times New Roman" w:hAnsi="Times New Roman"/>
          <w:i/>
          <w:color w:val="000000"/>
          <w:sz w:val="20"/>
        </w:rPr>
        <w:t>Lack of knowledge or necessary information.</w:t>
      </w:r>
      <w:r>
        <w:rPr>
          <w:rFonts w:ascii="Times New Roman" w:hAnsi="Times New Roman"/>
          <w:color w:val="000000"/>
          <w:sz w:val="20"/>
        </w:rPr>
        <w:t xml:space="preserve"> A party may claim a lack of knowledge or necessary information in lieu of an answer but only if the party cannot furnish the requested information after making a reasonable inquiry.</w:t>
      </w:r>
      <w:bookmarkStart w:id="7" w:name="co_fnRef_I9b3def64e60011ee9332940182314"/>
      <w:r>
        <w:fldChar w:fldCharType="begin"/>
      </w:r>
      <w:r>
        <w:instrText>HYPERLINK \l "co_footnote_I9b3def64e60011ee9332940182" \h</w:instrText>
      </w:r>
      <w:r>
        <w:fldChar w:fldCharType="separate"/>
      </w:r>
      <w:r>
        <w:rPr>
          <w:rFonts w:ascii="Times New Roman" w:hAnsi="Times New Roman"/>
          <w:color w:val="0E568C"/>
          <w:sz w:val="16"/>
          <w:vertAlign w:val="superscript"/>
        </w:rPr>
        <w:t>5</w:t>
      </w:r>
      <w:r>
        <w:rPr>
          <w:rFonts w:ascii="Times New Roman" w:hAnsi="Times New Roman"/>
          <w:color w:val="0E568C"/>
          <w:sz w:val="16"/>
          <w:vertAlign w:val="superscript"/>
        </w:rPr>
        <w:fldChar w:fldCharType="end"/>
      </w:r>
      <w:bookmarkEnd w:id="7"/>
    </w:p>
    <w:p w14:paraId="1C810708" w14:textId="77777777" w:rsidR="0087718B" w:rsidRDefault="00E47289">
      <w:pPr>
        <w:tabs>
          <w:tab w:val="left" w:pos="425"/>
        </w:tabs>
        <w:spacing w:before="75" w:after="0" w:line="240" w:lineRule="auto"/>
        <w:ind w:left="425" w:hanging="425"/>
        <w:jc w:val="both"/>
      </w:pPr>
      <w:r>
        <w:rPr>
          <w:rFonts w:ascii="Times New Roman" w:hAnsi="Times New Roman"/>
          <w:color w:val="000000"/>
          <w:sz w:val="20"/>
        </w:rPr>
        <w:t> </w:t>
      </w:r>
      <w:r>
        <w:rPr>
          <w:rFonts w:ascii="Times New Roman" w:hAnsi="Times New Roman"/>
          <w:color w:val="000000"/>
          <w:sz w:val="20"/>
        </w:rPr>
        <w:tab/>
        <w:t xml:space="preserve">(d) </w:t>
      </w:r>
      <w:r>
        <w:rPr>
          <w:rFonts w:ascii="Times New Roman" w:hAnsi="Times New Roman"/>
          <w:i/>
          <w:color w:val="000000"/>
          <w:sz w:val="20"/>
        </w:rPr>
        <w:t>Privilege</w:t>
      </w:r>
      <w:r>
        <w:rPr>
          <w:rFonts w:ascii="Times New Roman" w:hAnsi="Times New Roman"/>
          <w:color w:val="000000"/>
          <w:sz w:val="20"/>
        </w:rPr>
        <w:t>. The responding party may object if the question seeks information protected by the attorney-client privilege or some other privilege.</w:t>
      </w:r>
      <w:bookmarkStart w:id="8" w:name="co_fnRef_I9b3def66e60011ee9332940182314"/>
      <w:r>
        <w:fldChar w:fldCharType="begin"/>
      </w:r>
      <w:r>
        <w:instrText>HYPERLINK \l "co_footnote_I9b3def66e60011ee9332940182" \h</w:instrText>
      </w:r>
      <w:r>
        <w:fldChar w:fldCharType="separate"/>
      </w:r>
      <w:r>
        <w:rPr>
          <w:rFonts w:ascii="Times New Roman" w:hAnsi="Times New Roman"/>
          <w:color w:val="0E568C"/>
          <w:sz w:val="16"/>
          <w:vertAlign w:val="superscript"/>
        </w:rPr>
        <w:t>6</w:t>
      </w:r>
      <w:r>
        <w:rPr>
          <w:rFonts w:ascii="Times New Roman" w:hAnsi="Times New Roman"/>
          <w:color w:val="0E568C"/>
          <w:sz w:val="16"/>
          <w:vertAlign w:val="superscript"/>
        </w:rPr>
        <w:fldChar w:fldCharType="end"/>
      </w:r>
      <w:bookmarkEnd w:id="8"/>
      <w:r>
        <w:rPr>
          <w:rFonts w:ascii="Times New Roman" w:hAnsi="Times New Roman"/>
          <w:color w:val="000000"/>
          <w:sz w:val="20"/>
        </w:rPr>
        <w:t xml:space="preserve"> Failure to assert a legitimate privilege may result in waiver of the privilege with respect to that information.</w:t>
      </w:r>
      <w:bookmarkStart w:id="9" w:name="co_fnRef_I9b3e1670e60011ee9332940182314"/>
      <w:r>
        <w:fldChar w:fldCharType="begin"/>
      </w:r>
      <w:r>
        <w:instrText>HYPERLINK \l "co_footnote_I9b3e1670e60011ee9332940182" \h</w:instrText>
      </w:r>
      <w:r>
        <w:fldChar w:fldCharType="separate"/>
      </w:r>
      <w:r>
        <w:rPr>
          <w:rFonts w:ascii="Times New Roman" w:hAnsi="Times New Roman"/>
          <w:color w:val="0E568C"/>
          <w:sz w:val="16"/>
          <w:vertAlign w:val="superscript"/>
        </w:rPr>
        <w:t>7</w:t>
      </w:r>
      <w:r>
        <w:rPr>
          <w:rFonts w:ascii="Times New Roman" w:hAnsi="Times New Roman"/>
          <w:color w:val="0E568C"/>
          <w:sz w:val="16"/>
          <w:vertAlign w:val="superscript"/>
        </w:rPr>
        <w:fldChar w:fldCharType="end"/>
      </w:r>
      <w:bookmarkEnd w:id="9"/>
    </w:p>
    <w:p w14:paraId="1CF79234" w14:textId="77777777" w:rsidR="0087718B" w:rsidRDefault="00E47289">
      <w:pPr>
        <w:tabs>
          <w:tab w:val="left" w:pos="425"/>
        </w:tabs>
        <w:spacing w:before="75" w:after="0" w:line="240" w:lineRule="auto"/>
        <w:ind w:left="425" w:hanging="425"/>
        <w:jc w:val="both"/>
      </w:pPr>
      <w:r>
        <w:rPr>
          <w:rFonts w:ascii="Times New Roman" w:hAnsi="Times New Roman"/>
          <w:color w:val="000000"/>
          <w:sz w:val="20"/>
        </w:rPr>
        <w:t> </w:t>
      </w:r>
      <w:r>
        <w:rPr>
          <w:rFonts w:ascii="Times New Roman" w:hAnsi="Times New Roman"/>
          <w:color w:val="000000"/>
          <w:sz w:val="20"/>
        </w:rPr>
        <w:tab/>
        <w:t xml:space="preserve">(e) </w:t>
      </w:r>
      <w:r>
        <w:rPr>
          <w:rFonts w:ascii="Times New Roman" w:hAnsi="Times New Roman"/>
          <w:i/>
          <w:color w:val="000000"/>
          <w:sz w:val="20"/>
        </w:rPr>
        <w:t>Work Product</w:t>
      </w:r>
      <w:r>
        <w:rPr>
          <w:rFonts w:ascii="Times New Roman" w:hAnsi="Times New Roman"/>
          <w:color w:val="000000"/>
          <w:sz w:val="20"/>
        </w:rPr>
        <w:t xml:space="preserve">. The responding party may object if the question </w:t>
      </w:r>
      <w:proofErr w:type="spellStart"/>
      <w:r>
        <w:rPr>
          <w:rFonts w:ascii="Times New Roman" w:hAnsi="Times New Roman"/>
          <w:color w:val="000000"/>
          <w:sz w:val="20"/>
        </w:rPr>
        <w:t>inquires</w:t>
      </w:r>
      <w:proofErr w:type="spellEnd"/>
      <w:r>
        <w:rPr>
          <w:rFonts w:ascii="Times New Roman" w:hAnsi="Times New Roman"/>
          <w:color w:val="000000"/>
          <w:sz w:val="20"/>
        </w:rPr>
        <w:t xml:space="preserve"> into matters protected by the work product rule.</w:t>
      </w:r>
      <w:bookmarkStart w:id="10" w:name="co_fnRef_I9b3e1671e60011ee9332940182314"/>
      <w:r>
        <w:fldChar w:fldCharType="begin"/>
      </w:r>
      <w:r>
        <w:instrText>HYPERLINK \l "co_footnote_I9b3e1671e60011ee9332940182" \h</w:instrText>
      </w:r>
      <w:r>
        <w:fldChar w:fldCharType="separate"/>
      </w:r>
      <w:r>
        <w:rPr>
          <w:rFonts w:ascii="Times New Roman" w:hAnsi="Times New Roman"/>
          <w:color w:val="0E568C"/>
          <w:sz w:val="16"/>
          <w:vertAlign w:val="superscript"/>
        </w:rPr>
        <w:t>8</w:t>
      </w:r>
      <w:r>
        <w:rPr>
          <w:rFonts w:ascii="Times New Roman" w:hAnsi="Times New Roman"/>
          <w:color w:val="0E568C"/>
          <w:sz w:val="16"/>
          <w:vertAlign w:val="superscript"/>
        </w:rPr>
        <w:fldChar w:fldCharType="end"/>
      </w:r>
      <w:bookmarkEnd w:id="10"/>
    </w:p>
    <w:p w14:paraId="60B095A1" w14:textId="77777777" w:rsidR="0087718B" w:rsidRDefault="00E47289">
      <w:pPr>
        <w:tabs>
          <w:tab w:val="left" w:pos="425"/>
        </w:tabs>
        <w:spacing w:before="75" w:after="0" w:line="240" w:lineRule="auto"/>
        <w:ind w:left="425" w:hanging="425"/>
        <w:jc w:val="both"/>
      </w:pPr>
      <w:r>
        <w:rPr>
          <w:rFonts w:ascii="Times New Roman" w:hAnsi="Times New Roman"/>
          <w:color w:val="000000"/>
          <w:sz w:val="20"/>
        </w:rPr>
        <w:t> </w:t>
      </w:r>
      <w:r>
        <w:rPr>
          <w:rFonts w:ascii="Times New Roman" w:hAnsi="Times New Roman"/>
          <w:color w:val="000000"/>
          <w:sz w:val="20"/>
        </w:rPr>
        <w:tab/>
        <w:t xml:space="preserve">(f) </w:t>
      </w:r>
      <w:proofErr w:type="spellStart"/>
      <w:r>
        <w:rPr>
          <w:rFonts w:ascii="Times New Roman" w:hAnsi="Times New Roman"/>
          <w:i/>
          <w:color w:val="000000"/>
          <w:sz w:val="20"/>
        </w:rPr>
        <w:t>Nondiscoverable</w:t>
      </w:r>
      <w:proofErr w:type="spellEnd"/>
      <w:r>
        <w:rPr>
          <w:rFonts w:ascii="Times New Roman" w:hAnsi="Times New Roman"/>
          <w:i/>
          <w:color w:val="000000"/>
          <w:sz w:val="20"/>
        </w:rPr>
        <w:t xml:space="preserve"> expert information</w:t>
      </w:r>
      <w:r>
        <w:rPr>
          <w:rFonts w:ascii="Times New Roman" w:hAnsi="Times New Roman"/>
          <w:color w:val="000000"/>
          <w:sz w:val="20"/>
        </w:rPr>
        <w:t xml:space="preserve">. The responding party may object if the question seeks to elicit information derived from an expert in violation of </w:t>
      </w:r>
      <w:hyperlink r:id="rId6">
        <w:r>
          <w:rPr>
            <w:rFonts w:ascii="Times New Roman" w:hAnsi="Times New Roman"/>
            <w:noProof/>
            <w:color w:val="0E568C"/>
            <w:sz w:val="30"/>
          </w:rPr>
          <w:drawing>
            <wp:inline distT="0" distB="0" distL="0" distR="0" wp14:anchorId="34DAA1B8" wp14:editId="427AE077">
              <wp:extent cx="161925" cy="1619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srcRect/>
                      <a:stretch>
                        <a:fillRect/>
                      </a:stretch>
                    </pic:blipFill>
                    <pic:spPr>
                      <a:xfrm>
                        <a:off x="0" y="0"/>
                        <a:ext cx="161925" cy="161925"/>
                      </a:xfrm>
                      <a:prstGeom prst="rect">
                        <a:avLst/>
                      </a:prstGeom>
                    </pic:spPr>
                  </pic:pic>
                </a:graphicData>
              </a:graphic>
            </wp:inline>
          </w:drawing>
        </w:r>
      </w:hyperlink>
      <w:hyperlink r:id="rId8">
        <w:r>
          <w:rPr>
            <w:rFonts w:ascii="Times New Roman" w:hAnsi="Times New Roman"/>
            <w:color w:val="0E568C"/>
            <w:sz w:val="20"/>
          </w:rPr>
          <w:t>CR 26(b)(5)</w:t>
        </w:r>
      </w:hyperlink>
      <w:r>
        <w:rPr>
          <w:rFonts w:ascii="Times New Roman" w:hAnsi="Times New Roman"/>
          <w:color w:val="000000"/>
          <w:sz w:val="20"/>
        </w:rPr>
        <w:t>.</w:t>
      </w:r>
      <w:bookmarkStart w:id="11" w:name="co_fnRef_I9b3e1673e60011ee9332940182314"/>
      <w:r>
        <w:fldChar w:fldCharType="begin"/>
      </w:r>
      <w:r>
        <w:instrText>HYPERLINK \l "co_footnote_I9b3e1673e60011ee9332940182" \h</w:instrText>
      </w:r>
      <w:r>
        <w:fldChar w:fldCharType="separate"/>
      </w:r>
      <w:r>
        <w:rPr>
          <w:rFonts w:ascii="Times New Roman" w:hAnsi="Times New Roman"/>
          <w:color w:val="0E568C"/>
          <w:sz w:val="16"/>
          <w:vertAlign w:val="superscript"/>
        </w:rPr>
        <w:t>9</w:t>
      </w:r>
      <w:r>
        <w:rPr>
          <w:rFonts w:ascii="Times New Roman" w:hAnsi="Times New Roman"/>
          <w:color w:val="0E568C"/>
          <w:sz w:val="16"/>
          <w:vertAlign w:val="superscript"/>
        </w:rPr>
        <w:fldChar w:fldCharType="end"/>
      </w:r>
      <w:bookmarkEnd w:id="11"/>
    </w:p>
    <w:p w14:paraId="716918ED" w14:textId="77777777" w:rsidR="0087718B" w:rsidRDefault="00E47289">
      <w:pPr>
        <w:tabs>
          <w:tab w:val="left" w:pos="425"/>
        </w:tabs>
        <w:spacing w:before="75" w:after="0" w:line="240" w:lineRule="auto"/>
        <w:ind w:left="425" w:hanging="425"/>
        <w:jc w:val="both"/>
      </w:pPr>
      <w:r>
        <w:rPr>
          <w:rFonts w:ascii="Times New Roman" w:hAnsi="Times New Roman"/>
          <w:color w:val="000000"/>
          <w:sz w:val="20"/>
        </w:rPr>
        <w:t> </w:t>
      </w:r>
      <w:r>
        <w:rPr>
          <w:rFonts w:ascii="Times New Roman" w:hAnsi="Times New Roman"/>
          <w:color w:val="000000"/>
          <w:sz w:val="20"/>
        </w:rPr>
        <w:tab/>
        <w:t xml:space="preserve">(g) </w:t>
      </w:r>
      <w:r>
        <w:rPr>
          <w:rFonts w:ascii="Times New Roman" w:hAnsi="Times New Roman"/>
          <w:i/>
          <w:color w:val="000000"/>
          <w:sz w:val="20"/>
        </w:rPr>
        <w:t>Outside the scope of discovery</w:t>
      </w:r>
      <w:r>
        <w:rPr>
          <w:rFonts w:ascii="Times New Roman" w:hAnsi="Times New Roman"/>
          <w:color w:val="000000"/>
          <w:sz w:val="20"/>
        </w:rPr>
        <w:t xml:space="preserve">. The responding party may object if the question seeks information that is irrelevant, even under the broad definition of relevance in </w:t>
      </w:r>
      <w:hyperlink r:id="rId9">
        <w:r>
          <w:rPr>
            <w:rFonts w:ascii="Times New Roman" w:hAnsi="Times New Roman"/>
            <w:noProof/>
            <w:color w:val="0E568C"/>
            <w:sz w:val="30"/>
          </w:rPr>
          <w:drawing>
            <wp:inline distT="0" distB="0" distL="0" distR="0" wp14:anchorId="7F022026" wp14:editId="0F9859BA">
              <wp:extent cx="161925" cy="16192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
                      <a:srcRect/>
                      <a:stretch>
                        <a:fillRect/>
                      </a:stretch>
                    </pic:blipFill>
                    <pic:spPr>
                      <a:xfrm>
                        <a:off x="0" y="0"/>
                        <a:ext cx="161925" cy="161925"/>
                      </a:xfrm>
                      <a:prstGeom prst="rect">
                        <a:avLst/>
                      </a:prstGeom>
                    </pic:spPr>
                  </pic:pic>
                </a:graphicData>
              </a:graphic>
            </wp:inline>
          </w:drawing>
        </w:r>
      </w:hyperlink>
      <w:hyperlink r:id="rId10">
        <w:r>
          <w:rPr>
            <w:rFonts w:ascii="Times New Roman" w:hAnsi="Times New Roman"/>
            <w:color w:val="0E568C"/>
            <w:sz w:val="20"/>
          </w:rPr>
          <w:t>CR 26(b)(1)</w:t>
        </w:r>
      </w:hyperlink>
      <w:r>
        <w:rPr>
          <w:rFonts w:ascii="Times New Roman" w:hAnsi="Times New Roman"/>
          <w:color w:val="000000"/>
          <w:sz w:val="20"/>
        </w:rPr>
        <w:t>.</w:t>
      </w:r>
      <w:bookmarkStart w:id="12" w:name="co_fnRef_I9b3e1676e60011ee9332940182314"/>
      <w:r>
        <w:fldChar w:fldCharType="begin"/>
      </w:r>
      <w:r>
        <w:instrText>HYPERLINK \l "co_footnote_I9b3e1676e60011ee9332940182" \h</w:instrText>
      </w:r>
      <w:r>
        <w:fldChar w:fldCharType="separate"/>
      </w:r>
      <w:r>
        <w:rPr>
          <w:rFonts w:ascii="Times New Roman" w:hAnsi="Times New Roman"/>
          <w:color w:val="0E568C"/>
          <w:sz w:val="16"/>
          <w:vertAlign w:val="superscript"/>
        </w:rPr>
        <w:t>10</w:t>
      </w:r>
      <w:r>
        <w:rPr>
          <w:rFonts w:ascii="Times New Roman" w:hAnsi="Times New Roman"/>
          <w:color w:val="0E568C"/>
          <w:sz w:val="16"/>
          <w:vertAlign w:val="superscript"/>
        </w:rPr>
        <w:fldChar w:fldCharType="end"/>
      </w:r>
      <w:bookmarkEnd w:id="12"/>
    </w:p>
    <w:p w14:paraId="67EE3B53" w14:textId="77777777" w:rsidR="0087718B" w:rsidRDefault="00E47289">
      <w:pPr>
        <w:tabs>
          <w:tab w:val="left" w:pos="425"/>
        </w:tabs>
        <w:spacing w:before="75" w:after="0" w:line="240" w:lineRule="auto"/>
        <w:ind w:left="425" w:hanging="425"/>
        <w:jc w:val="both"/>
      </w:pPr>
      <w:r>
        <w:rPr>
          <w:rFonts w:ascii="Times New Roman" w:hAnsi="Times New Roman"/>
          <w:color w:val="000000"/>
          <w:sz w:val="20"/>
        </w:rPr>
        <w:t> </w:t>
      </w:r>
      <w:r>
        <w:rPr>
          <w:rFonts w:ascii="Times New Roman" w:hAnsi="Times New Roman"/>
          <w:color w:val="000000"/>
          <w:sz w:val="20"/>
        </w:rPr>
        <w:tab/>
        <w:t xml:space="preserve">(h) </w:t>
      </w:r>
      <w:r>
        <w:rPr>
          <w:rFonts w:ascii="Times New Roman" w:hAnsi="Times New Roman"/>
          <w:i/>
          <w:color w:val="000000"/>
          <w:sz w:val="20"/>
        </w:rPr>
        <w:t xml:space="preserve">Seeks a purely legal </w:t>
      </w:r>
      <w:r>
        <w:rPr>
          <w:rFonts w:ascii="Times New Roman" w:hAnsi="Times New Roman"/>
          <w:i/>
          <w:color w:val="000000"/>
          <w:sz w:val="20"/>
        </w:rPr>
        <w:t>conclusion unrelated to facts</w:t>
      </w:r>
      <w:r>
        <w:rPr>
          <w:rFonts w:ascii="Times New Roman" w:hAnsi="Times New Roman"/>
          <w:color w:val="000000"/>
          <w:sz w:val="20"/>
        </w:rPr>
        <w:t>. The responding party may object if the question seeks purely an opinion or conclusion on a legal issue.</w:t>
      </w:r>
      <w:bookmarkStart w:id="13" w:name="co_fnRef_I9b3e1677e60011ee9332940182314"/>
      <w:r>
        <w:fldChar w:fldCharType="begin"/>
      </w:r>
      <w:r>
        <w:instrText>HYPERLINK \l "co_footnote_I9b3e1677e60011ee9332940182" \h</w:instrText>
      </w:r>
      <w:r>
        <w:fldChar w:fldCharType="separate"/>
      </w:r>
      <w:r>
        <w:rPr>
          <w:rFonts w:ascii="Times New Roman" w:hAnsi="Times New Roman"/>
          <w:color w:val="0E568C"/>
          <w:sz w:val="16"/>
          <w:vertAlign w:val="superscript"/>
        </w:rPr>
        <w:t>11</w:t>
      </w:r>
      <w:r>
        <w:rPr>
          <w:rFonts w:ascii="Times New Roman" w:hAnsi="Times New Roman"/>
          <w:color w:val="0E568C"/>
          <w:sz w:val="16"/>
          <w:vertAlign w:val="superscript"/>
        </w:rPr>
        <w:fldChar w:fldCharType="end"/>
      </w:r>
      <w:bookmarkEnd w:id="13"/>
      <w:r>
        <w:rPr>
          <w:rFonts w:ascii="Times New Roman" w:hAnsi="Times New Roman"/>
          <w:color w:val="000000"/>
          <w:sz w:val="20"/>
        </w:rPr>
        <w:t xml:space="preserve"> (By contrast, an interrogatory may legitimately inquire about a party's opinions or conclusions with regard to the application of law to fact.</w:t>
      </w:r>
      <w:bookmarkStart w:id="14" w:name="co_fnRef_I9b3e3d80e60011ee9332940182314"/>
      <w:r>
        <w:fldChar w:fldCharType="begin"/>
      </w:r>
      <w:r>
        <w:instrText>HYPERLINK \l "co_footnote_I9b3e3d80e60011ee9332940182" \h</w:instrText>
      </w:r>
      <w:r>
        <w:fldChar w:fldCharType="separate"/>
      </w:r>
      <w:r>
        <w:rPr>
          <w:rFonts w:ascii="Times New Roman" w:hAnsi="Times New Roman"/>
          <w:color w:val="0E568C"/>
          <w:sz w:val="16"/>
          <w:vertAlign w:val="superscript"/>
        </w:rPr>
        <w:t>12</w:t>
      </w:r>
      <w:r>
        <w:rPr>
          <w:rFonts w:ascii="Times New Roman" w:hAnsi="Times New Roman"/>
          <w:color w:val="0E568C"/>
          <w:sz w:val="16"/>
          <w:vertAlign w:val="superscript"/>
        </w:rPr>
        <w:fldChar w:fldCharType="end"/>
      </w:r>
      <w:bookmarkEnd w:id="14"/>
      <w:r>
        <w:rPr>
          <w:rFonts w:ascii="Times New Roman" w:hAnsi="Times New Roman"/>
          <w:color w:val="000000"/>
          <w:sz w:val="20"/>
        </w:rPr>
        <w:t>)</w:t>
      </w:r>
    </w:p>
    <w:p w14:paraId="3966C97A" w14:textId="77777777" w:rsidR="0087718B" w:rsidRDefault="00E47289">
      <w:pPr>
        <w:spacing w:before="200" w:after="0" w:line="275" w:lineRule="atLeast"/>
        <w:jc w:val="both"/>
      </w:pPr>
      <w:r>
        <w:rPr>
          <w:rFonts w:ascii="Times New Roman" w:hAnsi="Times New Roman"/>
          <w:color w:val="000000"/>
          <w:sz w:val="20"/>
        </w:rPr>
        <w:t> </w:t>
      </w:r>
    </w:p>
    <w:p w14:paraId="374C1D7F" w14:textId="77777777" w:rsidR="0087718B" w:rsidRDefault="00E47289">
      <w:pPr>
        <w:spacing w:before="417" w:after="0" w:line="180" w:lineRule="atLeast"/>
        <w:jc w:val="center"/>
      </w:pPr>
      <w:r>
        <w:rPr>
          <w:rFonts w:ascii="Times New Roman" w:hAnsi="Times New Roman"/>
          <w:color w:val="565656"/>
          <w:sz w:val="17"/>
        </w:rPr>
        <w:t>Westlaw. © 2024 Thomson Reuters. No Claim to Orig. U.S. Govt. Works.</w:t>
      </w:r>
    </w:p>
    <w:p w14:paraId="7E14523F" w14:textId="77777777" w:rsidR="0087718B" w:rsidRDefault="0087718B">
      <w:pPr>
        <w:spacing w:after="0" w:line="240" w:lineRule="auto"/>
        <w:rPr>
          <w:sz w:val="60"/>
        </w:rPr>
      </w:pPr>
    </w:p>
    <w:tbl>
      <w:tblPr>
        <w:tblW w:w="0" w:type="auto"/>
        <w:tblInd w:w="10" w:type="dxa"/>
        <w:tblLayout w:type="fixed"/>
        <w:tblCellMar>
          <w:left w:w="10" w:type="dxa"/>
          <w:right w:w="10" w:type="dxa"/>
        </w:tblCellMar>
        <w:tblLook w:val="04A0" w:firstRow="1" w:lastRow="0" w:firstColumn="1" w:lastColumn="0" w:noHBand="0" w:noVBand="1"/>
      </w:tblPr>
      <w:tblGrid>
        <w:gridCol w:w="600"/>
        <w:gridCol w:w="9450"/>
      </w:tblGrid>
      <w:tr w:rsidR="00E47289" w14:paraId="63D53FA5" w14:textId="77777777" w:rsidTr="00E47289">
        <w:tblPrEx>
          <w:tblCellMar>
            <w:top w:w="0" w:type="dxa"/>
            <w:bottom w:w="0" w:type="dxa"/>
          </w:tblCellMar>
        </w:tblPrEx>
        <w:tc>
          <w:tcPr>
            <w:tcW w:w="10050" w:type="dxa"/>
            <w:gridSpan w:val="2"/>
            <w:tcBorders>
              <w:top w:val="single" w:sz="18" w:space="0" w:color="DADADA"/>
            </w:tcBorders>
            <w:tcMar>
              <w:bottom w:w="300" w:type="dxa"/>
            </w:tcMar>
          </w:tcPr>
          <w:p w14:paraId="6CA4352B" w14:textId="77777777" w:rsidR="0087718B" w:rsidRDefault="00E47289">
            <w:pPr>
              <w:spacing w:after="0" w:line="275" w:lineRule="atLeast"/>
              <w:jc w:val="center"/>
            </w:pPr>
            <w:bookmarkStart w:id="15" w:name="co_footnoteSection_1"/>
            <w:r>
              <w:rPr>
                <w:rFonts w:ascii="Times New Roman" w:hAnsi="Times New Roman"/>
                <w:b/>
                <w:color w:val="000000"/>
              </w:rPr>
              <w:lastRenderedPageBreak/>
              <w:t>Footnotes</w:t>
            </w:r>
          </w:p>
        </w:tc>
      </w:tr>
      <w:bookmarkStart w:id="16" w:name="co_footnote_I9b3dc851e60011ee9332940182"/>
      <w:bookmarkEnd w:id="15"/>
      <w:tr w:rsidR="0087718B" w14:paraId="2771A1C9" w14:textId="77777777">
        <w:tblPrEx>
          <w:tblCellMar>
            <w:top w:w="0" w:type="dxa"/>
            <w:bottom w:w="0" w:type="dxa"/>
          </w:tblCellMar>
        </w:tblPrEx>
        <w:tc>
          <w:tcPr>
            <w:tcW w:w="600" w:type="dxa"/>
          </w:tcPr>
          <w:p w14:paraId="06F77AFB" w14:textId="77777777" w:rsidR="0087718B" w:rsidRDefault="00E47289">
            <w:pPr>
              <w:spacing w:after="0" w:line="275" w:lineRule="atLeast"/>
            </w:pPr>
            <w:r>
              <w:fldChar w:fldCharType="begin"/>
            </w:r>
            <w:r>
              <w:instrText>HYPERLINK \l "co_fnRef_I9b3dc851e60011ee9332940182314" \h</w:instrText>
            </w:r>
            <w:r>
              <w:fldChar w:fldCharType="separate"/>
            </w:r>
            <w:r>
              <w:rPr>
                <w:rFonts w:ascii="Times New Roman" w:hAnsi="Times New Roman"/>
                <w:color w:val="0E568C"/>
                <w:sz w:val="20"/>
                <w:vertAlign w:val="superscript"/>
              </w:rPr>
              <w:t>a0</w:t>
            </w:r>
            <w:r>
              <w:rPr>
                <w:rFonts w:ascii="Times New Roman" w:hAnsi="Times New Roman"/>
                <w:color w:val="0E568C"/>
                <w:sz w:val="20"/>
                <w:vertAlign w:val="superscript"/>
              </w:rPr>
              <w:fldChar w:fldCharType="end"/>
            </w:r>
            <w:bookmarkEnd w:id="16"/>
          </w:p>
        </w:tc>
        <w:tc>
          <w:tcPr>
            <w:tcW w:w="9450" w:type="dxa"/>
          </w:tcPr>
          <w:p w14:paraId="5F35A116" w14:textId="77777777" w:rsidR="0087718B" w:rsidRDefault="00E47289">
            <w:pPr>
              <w:pBdr>
                <w:bottom w:val="none" w:sz="0" w:space="8" w:color="auto"/>
              </w:pBdr>
              <w:spacing w:after="0" w:line="240" w:lineRule="auto"/>
              <w:jc w:val="both"/>
            </w:pPr>
            <w:r>
              <w:rPr>
                <w:rFonts w:ascii="Times New Roman" w:hAnsi="Times New Roman"/>
                <w:color w:val="000000"/>
                <w:sz w:val="20"/>
              </w:rPr>
              <w:t>Of The Washington Bar.</w:t>
            </w:r>
          </w:p>
        </w:tc>
      </w:tr>
      <w:bookmarkStart w:id="17" w:name="co_footnote_I9b3def60e60011ee9332940182"/>
      <w:tr w:rsidR="0087718B" w14:paraId="6CF22A6D" w14:textId="77777777">
        <w:tblPrEx>
          <w:tblCellMar>
            <w:top w:w="0" w:type="dxa"/>
            <w:bottom w:w="0" w:type="dxa"/>
          </w:tblCellMar>
        </w:tblPrEx>
        <w:tc>
          <w:tcPr>
            <w:tcW w:w="600" w:type="dxa"/>
          </w:tcPr>
          <w:p w14:paraId="4D5858DC" w14:textId="77777777" w:rsidR="0087718B" w:rsidRDefault="00E47289">
            <w:pPr>
              <w:spacing w:after="0" w:line="275" w:lineRule="atLeast"/>
            </w:pPr>
            <w:r>
              <w:fldChar w:fldCharType="begin"/>
            </w:r>
            <w:r>
              <w:instrText>HYPERLINK \l "co_fnRef_I9b3def60e60011ee9332940182314" \h</w:instrText>
            </w:r>
            <w:r>
              <w:fldChar w:fldCharType="separate"/>
            </w:r>
            <w:r>
              <w:rPr>
                <w:rFonts w:ascii="Times New Roman" w:hAnsi="Times New Roman"/>
                <w:color w:val="0E568C"/>
                <w:sz w:val="20"/>
                <w:vertAlign w:val="superscript"/>
              </w:rPr>
              <w:t>1</w:t>
            </w:r>
            <w:r>
              <w:rPr>
                <w:rFonts w:ascii="Times New Roman" w:hAnsi="Times New Roman"/>
                <w:color w:val="0E568C"/>
                <w:sz w:val="20"/>
                <w:vertAlign w:val="superscript"/>
              </w:rPr>
              <w:fldChar w:fldCharType="end"/>
            </w:r>
            <w:bookmarkEnd w:id="17"/>
          </w:p>
        </w:tc>
        <w:tc>
          <w:tcPr>
            <w:tcW w:w="9450" w:type="dxa"/>
          </w:tcPr>
          <w:p w14:paraId="5155DCA4" w14:textId="77777777" w:rsidR="0087718B" w:rsidRDefault="00E47289">
            <w:pPr>
              <w:spacing w:after="0" w:line="240" w:lineRule="auto"/>
            </w:pPr>
            <w:r>
              <w:rPr>
                <w:rFonts w:ascii="Times New Roman" w:hAnsi="Times New Roman"/>
                <w:b/>
                <w:color w:val="000000"/>
                <w:sz w:val="20"/>
              </w:rPr>
              <w:t xml:space="preserve">Stated with </w:t>
            </w:r>
            <w:proofErr w:type="gramStart"/>
            <w:r>
              <w:rPr>
                <w:rFonts w:ascii="Times New Roman" w:hAnsi="Times New Roman"/>
                <w:b/>
                <w:color w:val="000000"/>
                <w:sz w:val="20"/>
              </w:rPr>
              <w:t>specificity</w:t>
            </w:r>
            <w:proofErr w:type="gramEnd"/>
          </w:p>
          <w:p w14:paraId="65FE6EEB"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See, e.g., </w:t>
            </w:r>
            <w:hyperlink r:id="rId11">
              <w:r>
                <w:rPr>
                  <w:rFonts w:ascii="Times New Roman" w:hAnsi="Times New Roman"/>
                  <w:noProof/>
                  <w:color w:val="0E568C"/>
                  <w:sz w:val="30"/>
                </w:rPr>
                <w:drawing>
                  <wp:inline distT="0" distB="0" distL="0" distR="0" wp14:anchorId="62B6FB3A" wp14:editId="20D0C4ED">
                    <wp:extent cx="161925" cy="161925"/>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12"/>
                            <a:srcRect/>
                            <a:stretch>
                              <a:fillRect/>
                            </a:stretch>
                          </pic:blipFill>
                          <pic:spPr>
                            <a:xfrm>
                              <a:off x="0" y="0"/>
                              <a:ext cx="161925" cy="161925"/>
                            </a:xfrm>
                            <a:prstGeom prst="rect">
                              <a:avLst/>
                            </a:prstGeom>
                          </pic:spPr>
                        </pic:pic>
                      </a:graphicData>
                    </a:graphic>
                  </wp:inline>
                </w:drawing>
              </w:r>
            </w:hyperlink>
            <w:hyperlink r:id="rId13">
              <w:r>
                <w:rPr>
                  <w:rFonts w:ascii="Times New Roman" w:hAnsi="Times New Roman"/>
                  <w:color w:val="0E568C"/>
                  <w:sz w:val="20"/>
                </w:rPr>
                <w:t>U.S. v. 58.16 Acres of Land, more or less in Clinton County, State of Ill., 66 F.R.D. 570, 20 Fed. R. Serv. 2d 1100 (E.D. Ill. 1975)</w:t>
              </w:r>
            </w:hyperlink>
            <w:r>
              <w:rPr>
                <w:rFonts w:ascii="Times New Roman" w:hAnsi="Times New Roman"/>
                <w:color w:val="000000"/>
                <w:sz w:val="20"/>
              </w:rPr>
              <w:t>.</w:t>
            </w:r>
          </w:p>
        </w:tc>
      </w:tr>
      <w:bookmarkStart w:id="18" w:name="co_footnote_I9b3def61e60011ee9332940182"/>
      <w:tr w:rsidR="0087718B" w14:paraId="2FDE535D" w14:textId="77777777">
        <w:tblPrEx>
          <w:tblCellMar>
            <w:top w:w="0" w:type="dxa"/>
            <w:bottom w:w="0" w:type="dxa"/>
          </w:tblCellMar>
        </w:tblPrEx>
        <w:tc>
          <w:tcPr>
            <w:tcW w:w="600" w:type="dxa"/>
          </w:tcPr>
          <w:p w14:paraId="21527782" w14:textId="77777777" w:rsidR="0087718B" w:rsidRDefault="00E47289">
            <w:pPr>
              <w:spacing w:after="0" w:line="275" w:lineRule="atLeast"/>
            </w:pPr>
            <w:r>
              <w:fldChar w:fldCharType="begin"/>
            </w:r>
            <w:r>
              <w:instrText>HYPERLINK \l "co_fnRef_I9b3def61e60011ee9332940182314" \h</w:instrText>
            </w:r>
            <w:r>
              <w:fldChar w:fldCharType="separate"/>
            </w:r>
            <w:r>
              <w:rPr>
                <w:rFonts w:ascii="Times New Roman" w:hAnsi="Times New Roman"/>
                <w:color w:val="0E568C"/>
                <w:sz w:val="20"/>
                <w:vertAlign w:val="superscript"/>
              </w:rPr>
              <w:t>2</w:t>
            </w:r>
            <w:r>
              <w:rPr>
                <w:rFonts w:ascii="Times New Roman" w:hAnsi="Times New Roman"/>
                <w:color w:val="0E568C"/>
                <w:sz w:val="20"/>
                <w:vertAlign w:val="superscript"/>
              </w:rPr>
              <w:fldChar w:fldCharType="end"/>
            </w:r>
            <w:bookmarkEnd w:id="18"/>
          </w:p>
        </w:tc>
        <w:tc>
          <w:tcPr>
            <w:tcW w:w="9450" w:type="dxa"/>
          </w:tcPr>
          <w:p w14:paraId="73BF7CE2" w14:textId="77777777" w:rsidR="0087718B" w:rsidRDefault="00E47289">
            <w:pPr>
              <w:spacing w:after="0" w:line="240" w:lineRule="auto"/>
            </w:pPr>
            <w:r>
              <w:rPr>
                <w:rFonts w:ascii="Times New Roman" w:hAnsi="Times New Roman"/>
                <w:b/>
                <w:color w:val="000000"/>
                <w:sz w:val="20"/>
              </w:rPr>
              <w:t>Irrelevant or otherwise undiscoverable</w:t>
            </w:r>
          </w:p>
          <w:p w14:paraId="1426CEF5"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It has been held that interrogatories may not ask a party to describe in detail the evidence he or she will rely upon to prove any fact or facts. </w:t>
            </w:r>
            <w:hyperlink r:id="rId14">
              <w:r>
                <w:rPr>
                  <w:rFonts w:ascii="Times New Roman" w:hAnsi="Times New Roman"/>
                  <w:color w:val="0E568C"/>
                  <w:sz w:val="20"/>
                </w:rPr>
                <w:t>Weber v. Biddle, 72 Wash. 2d 22, 431 P.2d 705 (1967)</w:t>
              </w:r>
            </w:hyperlink>
            <w:r>
              <w:rPr>
                <w:rFonts w:ascii="Times New Roman" w:hAnsi="Times New Roman"/>
                <w:color w:val="000000"/>
                <w:sz w:val="20"/>
              </w:rPr>
              <w:t xml:space="preserve"> (“Appellants were warranted in asking for the identity of persons who had information on material issues in the case. However, the opposing party cannot be required to put on a dress rehearsal of the trial. While it is proper to elicit information as to evidentiary facts as contrasted with ultimate facts, nevertheless it is improper to ask a party to state evidence upon which he intends to rely to prove any fact or facts. The trial court is given reasonable discretion in determining how far respondent shou</w:t>
            </w:r>
            <w:r>
              <w:rPr>
                <w:rFonts w:ascii="Times New Roman" w:hAnsi="Times New Roman"/>
                <w:color w:val="000000"/>
                <w:sz w:val="20"/>
              </w:rPr>
              <w:t>ld be required to go in answering interrogatories.”).</w:t>
            </w:r>
          </w:p>
        </w:tc>
      </w:tr>
      <w:bookmarkStart w:id="19" w:name="co_footnote_I9b3def62e60011ee9332940182"/>
      <w:tr w:rsidR="0087718B" w14:paraId="7BEF50F8" w14:textId="77777777">
        <w:tblPrEx>
          <w:tblCellMar>
            <w:top w:w="0" w:type="dxa"/>
            <w:bottom w:w="0" w:type="dxa"/>
          </w:tblCellMar>
        </w:tblPrEx>
        <w:tc>
          <w:tcPr>
            <w:tcW w:w="600" w:type="dxa"/>
          </w:tcPr>
          <w:p w14:paraId="7F30DFC3" w14:textId="77777777" w:rsidR="0087718B" w:rsidRDefault="00E47289">
            <w:pPr>
              <w:spacing w:after="0" w:line="275" w:lineRule="atLeast"/>
            </w:pPr>
            <w:r>
              <w:fldChar w:fldCharType="begin"/>
            </w:r>
            <w:r>
              <w:instrText>HYPERLINK \l "co_fnRef_I9b3def62e60011ee9332940182314" \h</w:instrText>
            </w:r>
            <w:r>
              <w:fldChar w:fldCharType="separate"/>
            </w:r>
            <w:r>
              <w:rPr>
                <w:rFonts w:ascii="Times New Roman" w:hAnsi="Times New Roman"/>
                <w:color w:val="0E568C"/>
                <w:sz w:val="20"/>
                <w:vertAlign w:val="superscript"/>
              </w:rPr>
              <w:t>3</w:t>
            </w:r>
            <w:r>
              <w:rPr>
                <w:rFonts w:ascii="Times New Roman" w:hAnsi="Times New Roman"/>
                <w:color w:val="0E568C"/>
                <w:sz w:val="20"/>
                <w:vertAlign w:val="superscript"/>
              </w:rPr>
              <w:fldChar w:fldCharType="end"/>
            </w:r>
            <w:bookmarkEnd w:id="19"/>
          </w:p>
        </w:tc>
        <w:tc>
          <w:tcPr>
            <w:tcW w:w="9450" w:type="dxa"/>
          </w:tcPr>
          <w:p w14:paraId="110538E6" w14:textId="77777777" w:rsidR="0087718B" w:rsidRDefault="00E47289">
            <w:pPr>
              <w:spacing w:after="0" w:line="240" w:lineRule="auto"/>
            </w:pPr>
            <w:r>
              <w:rPr>
                <w:rFonts w:ascii="Times New Roman" w:hAnsi="Times New Roman"/>
                <w:b/>
                <w:color w:val="000000"/>
                <w:sz w:val="20"/>
              </w:rPr>
              <w:t>Whether overbroad</w:t>
            </w:r>
          </w:p>
          <w:p w14:paraId="1064892E" w14:textId="77777777" w:rsidR="0087718B" w:rsidRDefault="00E47289">
            <w:pPr>
              <w:pBdr>
                <w:bottom w:val="none" w:sz="0" w:space="8" w:color="auto"/>
              </w:pBdr>
              <w:spacing w:after="0" w:line="240" w:lineRule="auto"/>
              <w:jc w:val="both"/>
            </w:pPr>
            <w:hyperlink r:id="rId15">
              <w:proofErr w:type="spellStart"/>
              <w:r>
                <w:rPr>
                  <w:rFonts w:ascii="Times New Roman" w:hAnsi="Times New Roman"/>
                  <w:color w:val="0E568C"/>
                  <w:sz w:val="20"/>
                </w:rPr>
                <w:t>Pulcino</w:t>
              </w:r>
              <w:proofErr w:type="spellEnd"/>
              <w:r>
                <w:rPr>
                  <w:rFonts w:ascii="Times New Roman" w:hAnsi="Times New Roman"/>
                  <w:color w:val="0E568C"/>
                  <w:sz w:val="20"/>
                </w:rPr>
                <w:t xml:space="preserve"> v. Federal Exp. Corp., 94 Wash. App. 413, 972 P.2d 522, 160 L.R.R.M. (BNA) 2859, 141 Lab. Cas. (CCH) P 59004 (Div. 1 1999)</w:t>
              </w:r>
            </w:hyperlink>
            <w:r>
              <w:rPr>
                <w:rFonts w:ascii="Times New Roman" w:hAnsi="Times New Roman"/>
                <w:color w:val="000000"/>
                <w:sz w:val="20"/>
              </w:rPr>
              <w:t xml:space="preserve">, as amended, (Apr. 1, 1999) and aff'd, </w:t>
            </w:r>
            <w:hyperlink r:id="rId16">
              <w:r>
                <w:rPr>
                  <w:rFonts w:ascii="Times New Roman" w:hAnsi="Times New Roman"/>
                  <w:noProof/>
                  <w:color w:val="0E568C"/>
                  <w:sz w:val="30"/>
                </w:rPr>
                <w:drawing>
                  <wp:inline distT="0" distB="0" distL="0" distR="0" wp14:anchorId="041F7E4F" wp14:editId="473D57BE">
                    <wp:extent cx="161925" cy="161925"/>
                    <wp:effectExtent l="0" t="0" r="0" b="0"/>
                    <wp:docPr id="7" name="Picture 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7"/>
                            <a:srcRect/>
                            <a:stretch>
                              <a:fillRect/>
                            </a:stretch>
                          </pic:blipFill>
                          <pic:spPr>
                            <a:xfrm>
                              <a:off x="0" y="0"/>
                              <a:ext cx="161925" cy="161925"/>
                            </a:xfrm>
                            <a:prstGeom prst="rect">
                              <a:avLst/>
                            </a:prstGeom>
                          </pic:spPr>
                        </pic:pic>
                      </a:graphicData>
                    </a:graphic>
                  </wp:inline>
                </w:drawing>
              </w:r>
            </w:hyperlink>
            <w:hyperlink r:id="rId17">
              <w:r>
                <w:rPr>
                  <w:rFonts w:ascii="Times New Roman" w:hAnsi="Times New Roman"/>
                  <w:color w:val="0E568C"/>
                  <w:sz w:val="20"/>
                </w:rPr>
                <w:t>141 Wash. 2d 629, 9 P.3d 787, 10 A.D. Cas. (BNA) 1805, 165 L.R.R.M. (BNA) 2284 (2000)</w:t>
              </w:r>
            </w:hyperlink>
            <w:r>
              <w:rPr>
                <w:rFonts w:ascii="Times New Roman" w:hAnsi="Times New Roman"/>
                <w:color w:val="000000"/>
                <w:sz w:val="20"/>
              </w:rPr>
              <w:t xml:space="preserve"> (rejected by, </w:t>
            </w:r>
            <w:hyperlink r:id="rId18">
              <w:r>
                <w:rPr>
                  <w:rFonts w:ascii="Times New Roman" w:hAnsi="Times New Roman"/>
                  <w:noProof/>
                  <w:color w:val="0E568C"/>
                  <w:sz w:val="30"/>
                </w:rPr>
                <w:drawing>
                  <wp:inline distT="0" distB="0" distL="0" distR="0" wp14:anchorId="175BF2F6" wp14:editId="3D84802A">
                    <wp:extent cx="161925" cy="161925"/>
                    <wp:effectExtent l="0" t="0" r="0" b="0"/>
                    <wp:docPr id="9" name="Picture 1"/>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7"/>
                            <a:srcRect/>
                            <a:stretch>
                              <a:fillRect/>
                            </a:stretch>
                          </pic:blipFill>
                          <pic:spPr>
                            <a:xfrm>
                              <a:off x="0" y="0"/>
                              <a:ext cx="161925" cy="161925"/>
                            </a:xfrm>
                            <a:prstGeom prst="rect">
                              <a:avLst/>
                            </a:prstGeom>
                          </pic:spPr>
                        </pic:pic>
                      </a:graphicData>
                    </a:graphic>
                  </wp:inline>
                </w:drawing>
              </w:r>
            </w:hyperlink>
            <w:hyperlink r:id="rId19">
              <w:r>
                <w:rPr>
                  <w:rFonts w:ascii="Times New Roman" w:hAnsi="Times New Roman"/>
                  <w:color w:val="0E568C"/>
                  <w:sz w:val="20"/>
                </w:rPr>
                <w:t>McClarty v. Totem Elec., 157 Wash. 2d 214, 137 P.3d 844, 18 A.D. Cas. (BNA) 217 (2006)</w:t>
              </w:r>
            </w:hyperlink>
            <w:r>
              <w:rPr>
                <w:rFonts w:ascii="Times New Roman" w:hAnsi="Times New Roman"/>
                <w:color w:val="000000"/>
                <w:sz w:val="20"/>
              </w:rPr>
              <w:t>).</w:t>
            </w:r>
          </w:p>
        </w:tc>
      </w:tr>
      <w:bookmarkStart w:id="20" w:name="co_footnote_I9b3def63e60011ee9332940182"/>
      <w:tr w:rsidR="0087718B" w14:paraId="27BFCAC9" w14:textId="77777777">
        <w:tblPrEx>
          <w:tblCellMar>
            <w:top w:w="0" w:type="dxa"/>
            <w:bottom w:w="0" w:type="dxa"/>
          </w:tblCellMar>
        </w:tblPrEx>
        <w:tc>
          <w:tcPr>
            <w:tcW w:w="600" w:type="dxa"/>
          </w:tcPr>
          <w:p w14:paraId="27024131" w14:textId="77777777" w:rsidR="0087718B" w:rsidRDefault="00E47289">
            <w:pPr>
              <w:spacing w:after="0" w:line="275" w:lineRule="atLeast"/>
            </w:pPr>
            <w:r>
              <w:fldChar w:fldCharType="begin"/>
            </w:r>
            <w:r>
              <w:instrText>HYPERLINK \l "co_fnRef_I9b3def63e60011ee9332940182314" \h</w:instrText>
            </w:r>
            <w:r>
              <w:fldChar w:fldCharType="separate"/>
            </w:r>
            <w:r>
              <w:rPr>
                <w:rFonts w:ascii="Times New Roman" w:hAnsi="Times New Roman"/>
                <w:color w:val="0E568C"/>
                <w:sz w:val="20"/>
                <w:vertAlign w:val="superscript"/>
              </w:rPr>
              <w:t>4</w:t>
            </w:r>
            <w:r>
              <w:rPr>
                <w:rFonts w:ascii="Times New Roman" w:hAnsi="Times New Roman"/>
                <w:color w:val="0E568C"/>
                <w:sz w:val="20"/>
                <w:vertAlign w:val="superscript"/>
              </w:rPr>
              <w:fldChar w:fldCharType="end"/>
            </w:r>
            <w:bookmarkEnd w:id="20"/>
          </w:p>
        </w:tc>
        <w:tc>
          <w:tcPr>
            <w:tcW w:w="9450" w:type="dxa"/>
          </w:tcPr>
          <w:p w14:paraId="1C8BBB76" w14:textId="77777777" w:rsidR="0087718B" w:rsidRDefault="00E47289">
            <w:pPr>
              <w:spacing w:after="0" w:line="240" w:lineRule="auto"/>
            </w:pPr>
            <w:r>
              <w:rPr>
                <w:rFonts w:ascii="Times New Roman" w:hAnsi="Times New Roman"/>
                <w:b/>
                <w:color w:val="000000"/>
                <w:sz w:val="20"/>
              </w:rPr>
              <w:t>Undue burden</w:t>
            </w:r>
          </w:p>
          <w:p w14:paraId="37A35C5C" w14:textId="77777777" w:rsidR="0087718B" w:rsidRDefault="00E47289">
            <w:pPr>
              <w:pBdr>
                <w:bottom w:val="none" w:sz="0" w:space="8" w:color="auto"/>
              </w:pBdr>
              <w:spacing w:after="0" w:line="240" w:lineRule="auto"/>
              <w:jc w:val="both"/>
            </w:pPr>
            <w:hyperlink r:id="rId20">
              <w:r>
                <w:rPr>
                  <w:rFonts w:ascii="Times New Roman" w:hAnsi="Times New Roman"/>
                  <w:color w:val="0E568C"/>
                  <w:sz w:val="20"/>
                </w:rPr>
                <w:t xml:space="preserve">City of Seattle v. </w:t>
              </w:r>
              <w:proofErr w:type="spellStart"/>
              <w:r>
                <w:rPr>
                  <w:rFonts w:ascii="Times New Roman" w:hAnsi="Times New Roman"/>
                  <w:color w:val="0E568C"/>
                  <w:sz w:val="20"/>
                </w:rPr>
                <w:t>McConahy</w:t>
              </w:r>
              <w:proofErr w:type="spellEnd"/>
              <w:r>
                <w:rPr>
                  <w:rFonts w:ascii="Times New Roman" w:hAnsi="Times New Roman"/>
                  <w:color w:val="0E568C"/>
                  <w:sz w:val="20"/>
                </w:rPr>
                <w:t>, 86 Wash. App. 557, 937 P.2d 1133 (Div. 1 1997)</w:t>
              </w:r>
            </w:hyperlink>
            <w:r>
              <w:rPr>
                <w:rFonts w:ascii="Times New Roman" w:hAnsi="Times New Roman"/>
                <w:color w:val="000000"/>
                <w:sz w:val="20"/>
              </w:rPr>
              <w:t>.</w:t>
            </w:r>
          </w:p>
          <w:p w14:paraId="111AFBA2" w14:textId="77777777" w:rsidR="0087718B" w:rsidRDefault="00E47289">
            <w:pPr>
              <w:pBdr>
                <w:bottom w:val="none" w:sz="0" w:space="8" w:color="auto"/>
              </w:pBdr>
              <w:spacing w:after="0" w:line="240" w:lineRule="auto"/>
              <w:jc w:val="both"/>
            </w:pPr>
            <w:hyperlink r:id="rId21">
              <w:proofErr w:type="spellStart"/>
              <w:r>
                <w:rPr>
                  <w:rFonts w:ascii="Times New Roman" w:hAnsi="Times New Roman"/>
                  <w:color w:val="0E568C"/>
                  <w:sz w:val="20"/>
                </w:rPr>
                <w:t>Pulsecard</w:t>
              </w:r>
              <w:proofErr w:type="spellEnd"/>
              <w:r>
                <w:rPr>
                  <w:rFonts w:ascii="Times New Roman" w:hAnsi="Times New Roman"/>
                  <w:color w:val="0E568C"/>
                  <w:sz w:val="20"/>
                </w:rPr>
                <w:t>, Inc. v. Discover Card Services, Inc., 168 F.R.D. 295 (D. Kan. 1996)</w:t>
              </w:r>
            </w:hyperlink>
            <w:r>
              <w:rPr>
                <w:rFonts w:ascii="Times New Roman" w:hAnsi="Times New Roman"/>
                <w:color w:val="000000"/>
                <w:sz w:val="20"/>
              </w:rPr>
              <w:t>.</w:t>
            </w:r>
          </w:p>
          <w:p w14:paraId="533430E5" w14:textId="77777777" w:rsidR="0087718B" w:rsidRDefault="00E47289">
            <w:pPr>
              <w:pBdr>
                <w:bottom w:val="none" w:sz="0" w:space="8" w:color="auto"/>
              </w:pBdr>
              <w:spacing w:after="0" w:line="240" w:lineRule="auto"/>
              <w:jc w:val="both"/>
            </w:pPr>
            <w:hyperlink r:id="rId22">
              <w:r>
                <w:rPr>
                  <w:rFonts w:ascii="Times New Roman" w:hAnsi="Times New Roman"/>
                  <w:color w:val="0E568C"/>
                  <w:sz w:val="20"/>
                </w:rPr>
                <w:t xml:space="preserve">Spector Freight Systems, Inc. v. Home </w:t>
              </w:r>
              <w:proofErr w:type="spellStart"/>
              <w:r>
                <w:rPr>
                  <w:rFonts w:ascii="Times New Roman" w:hAnsi="Times New Roman"/>
                  <w:color w:val="0E568C"/>
                  <w:sz w:val="20"/>
                </w:rPr>
                <w:t>Indem</w:t>
              </w:r>
              <w:proofErr w:type="spellEnd"/>
              <w:r>
                <w:rPr>
                  <w:rFonts w:ascii="Times New Roman" w:hAnsi="Times New Roman"/>
                  <w:color w:val="0E568C"/>
                  <w:sz w:val="20"/>
                </w:rPr>
                <w:t>. Co., 58 F.R.D. 162 (N.D. Ill. 1973)</w:t>
              </w:r>
            </w:hyperlink>
            <w:r>
              <w:rPr>
                <w:rFonts w:ascii="Times New Roman" w:hAnsi="Times New Roman"/>
                <w:color w:val="000000"/>
                <w:sz w:val="20"/>
              </w:rPr>
              <w:t xml:space="preserve"> (tremendous expenditure of time and money which would be necessary for party to specifically answer over 10,000 separate questions contained in interrogatories outweighed any benefit of compelling answers).</w:t>
            </w:r>
          </w:p>
          <w:p w14:paraId="1444A021"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It has been held that interrogatories may not ask a party to describe in detail the evidence he or she will rely upon to prove any fact or facts. </w:t>
            </w:r>
            <w:hyperlink r:id="rId23">
              <w:r>
                <w:rPr>
                  <w:rFonts w:ascii="Times New Roman" w:hAnsi="Times New Roman"/>
                  <w:color w:val="0E568C"/>
                  <w:sz w:val="20"/>
                </w:rPr>
                <w:t>Weber v. Biddle, 72 Wash. 2d 22, 431 P.2d 705 (1967)</w:t>
              </w:r>
            </w:hyperlink>
            <w:r>
              <w:rPr>
                <w:rFonts w:ascii="Times New Roman" w:hAnsi="Times New Roman"/>
                <w:color w:val="000000"/>
                <w:sz w:val="20"/>
              </w:rPr>
              <w:t xml:space="preserve"> (“Appellants were warranted in asking for the identity of persons who had information on material issues in the case. However, the opposing party cannot be required to put on a dress rehearsal of the trial. While it is proper to elicit information as to evidentiary facts as contrasted with ultimate facts, nevertheless it is improper to ask a party to state evidence upon which he intends to rely to prove any fact or facts. The trial court is given reasonable discretion in determining how far respondent shou</w:t>
            </w:r>
            <w:r>
              <w:rPr>
                <w:rFonts w:ascii="Times New Roman" w:hAnsi="Times New Roman"/>
                <w:color w:val="000000"/>
                <w:sz w:val="20"/>
              </w:rPr>
              <w:t>ld be required to go in answering interrogatories.”).</w:t>
            </w:r>
          </w:p>
        </w:tc>
      </w:tr>
      <w:bookmarkStart w:id="21" w:name="co_footnote_I9b3def64e60011ee9332940182"/>
      <w:tr w:rsidR="0087718B" w14:paraId="2553210D" w14:textId="77777777">
        <w:tblPrEx>
          <w:tblCellMar>
            <w:top w:w="0" w:type="dxa"/>
            <w:bottom w:w="0" w:type="dxa"/>
          </w:tblCellMar>
        </w:tblPrEx>
        <w:tc>
          <w:tcPr>
            <w:tcW w:w="600" w:type="dxa"/>
          </w:tcPr>
          <w:p w14:paraId="03D34EB9" w14:textId="77777777" w:rsidR="0087718B" w:rsidRDefault="00E47289">
            <w:pPr>
              <w:spacing w:after="0" w:line="275" w:lineRule="atLeast"/>
            </w:pPr>
            <w:r>
              <w:fldChar w:fldCharType="begin"/>
            </w:r>
            <w:r>
              <w:instrText>HYPERLINK \l "co_fnRef_I9b3def64e60011ee9332940182314" \h</w:instrText>
            </w:r>
            <w:r>
              <w:fldChar w:fldCharType="separate"/>
            </w:r>
            <w:r>
              <w:rPr>
                <w:rFonts w:ascii="Times New Roman" w:hAnsi="Times New Roman"/>
                <w:color w:val="0E568C"/>
                <w:sz w:val="20"/>
                <w:vertAlign w:val="superscript"/>
              </w:rPr>
              <w:t>5</w:t>
            </w:r>
            <w:r>
              <w:rPr>
                <w:rFonts w:ascii="Times New Roman" w:hAnsi="Times New Roman"/>
                <w:color w:val="0E568C"/>
                <w:sz w:val="20"/>
                <w:vertAlign w:val="superscript"/>
              </w:rPr>
              <w:fldChar w:fldCharType="end"/>
            </w:r>
            <w:bookmarkEnd w:id="21"/>
          </w:p>
        </w:tc>
        <w:tc>
          <w:tcPr>
            <w:tcW w:w="9450" w:type="dxa"/>
          </w:tcPr>
          <w:p w14:paraId="5C7FD08B" w14:textId="77777777" w:rsidR="0087718B" w:rsidRDefault="00E47289">
            <w:pPr>
              <w:spacing w:after="0" w:line="240" w:lineRule="auto"/>
            </w:pPr>
            <w:r>
              <w:rPr>
                <w:rFonts w:ascii="Times New Roman" w:hAnsi="Times New Roman"/>
                <w:b/>
                <w:color w:val="000000"/>
                <w:sz w:val="20"/>
              </w:rPr>
              <w:t>Lack of knowledge</w:t>
            </w:r>
          </w:p>
          <w:p w14:paraId="2E704D52"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See </w:t>
            </w:r>
            <w:hyperlink r:id="rId24">
              <w:r>
                <w:rPr>
                  <w:rFonts w:ascii="Times New Roman" w:hAnsi="Times New Roman"/>
                  <w:color w:val="0E568C"/>
                  <w:sz w:val="20"/>
                </w:rPr>
                <w:t>§ 15:8</w:t>
              </w:r>
            </w:hyperlink>
            <w:r>
              <w:rPr>
                <w:rFonts w:ascii="Times New Roman" w:hAnsi="Times New Roman"/>
                <w:color w:val="000000"/>
                <w:sz w:val="20"/>
              </w:rPr>
              <w:t>.</w:t>
            </w:r>
          </w:p>
        </w:tc>
      </w:tr>
      <w:bookmarkStart w:id="22" w:name="co_footnote_I9b3def66e60011ee9332940182"/>
      <w:tr w:rsidR="0087718B" w14:paraId="7C10A97D" w14:textId="77777777">
        <w:tblPrEx>
          <w:tblCellMar>
            <w:top w:w="0" w:type="dxa"/>
            <w:bottom w:w="0" w:type="dxa"/>
          </w:tblCellMar>
        </w:tblPrEx>
        <w:tc>
          <w:tcPr>
            <w:tcW w:w="600" w:type="dxa"/>
          </w:tcPr>
          <w:p w14:paraId="0127B689" w14:textId="77777777" w:rsidR="0087718B" w:rsidRDefault="00E47289">
            <w:pPr>
              <w:spacing w:after="0" w:line="275" w:lineRule="atLeast"/>
            </w:pPr>
            <w:r>
              <w:fldChar w:fldCharType="begin"/>
            </w:r>
            <w:r>
              <w:instrText>HYPERLINK \l "co_fnRef_I9b3def66e60011ee9332940182314" \h</w:instrText>
            </w:r>
            <w:r>
              <w:fldChar w:fldCharType="separate"/>
            </w:r>
            <w:r>
              <w:rPr>
                <w:rFonts w:ascii="Times New Roman" w:hAnsi="Times New Roman"/>
                <w:color w:val="0E568C"/>
                <w:sz w:val="20"/>
                <w:vertAlign w:val="superscript"/>
              </w:rPr>
              <w:t>6</w:t>
            </w:r>
            <w:r>
              <w:rPr>
                <w:rFonts w:ascii="Times New Roman" w:hAnsi="Times New Roman"/>
                <w:color w:val="0E568C"/>
                <w:sz w:val="20"/>
                <w:vertAlign w:val="superscript"/>
              </w:rPr>
              <w:fldChar w:fldCharType="end"/>
            </w:r>
            <w:bookmarkEnd w:id="22"/>
          </w:p>
        </w:tc>
        <w:tc>
          <w:tcPr>
            <w:tcW w:w="9450" w:type="dxa"/>
          </w:tcPr>
          <w:p w14:paraId="6B924BD5" w14:textId="77777777" w:rsidR="0087718B" w:rsidRDefault="00E47289">
            <w:pPr>
              <w:spacing w:after="0" w:line="240" w:lineRule="auto"/>
            </w:pPr>
            <w:r>
              <w:rPr>
                <w:rFonts w:ascii="Times New Roman" w:hAnsi="Times New Roman"/>
                <w:b/>
                <w:color w:val="000000"/>
                <w:sz w:val="20"/>
              </w:rPr>
              <w:t>Privilege</w:t>
            </w:r>
          </w:p>
          <w:p w14:paraId="66740EB5"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See, e.g., </w:t>
            </w:r>
            <w:hyperlink r:id="rId25">
              <w:r>
                <w:rPr>
                  <w:rFonts w:ascii="Times New Roman" w:hAnsi="Times New Roman"/>
                  <w:noProof/>
                  <w:color w:val="0E568C"/>
                  <w:sz w:val="30"/>
                </w:rPr>
                <w:drawing>
                  <wp:inline distT="0" distB="0" distL="0" distR="0" wp14:anchorId="1F3598F6" wp14:editId="6639D6B4">
                    <wp:extent cx="161925" cy="161925"/>
                    <wp:effectExtent l="0" t="0" r="0" b="0"/>
                    <wp:docPr id="11" name="Picture 2"/>
                    <wp:cNvGraphicFramePr/>
                    <a:graphic xmlns:a="http://schemas.openxmlformats.org/drawingml/2006/main">
                      <a:graphicData uri="http://schemas.openxmlformats.org/drawingml/2006/picture">
                        <pic:pic xmlns:pic="http://schemas.openxmlformats.org/drawingml/2006/picture">
                          <pic:nvPicPr>
                            <pic:cNvPr id="12" name="Picture 2"/>
                            <pic:cNvPicPr/>
                          </pic:nvPicPr>
                          <pic:blipFill>
                            <a:blip r:embed="rId12"/>
                            <a:srcRect/>
                            <a:stretch>
                              <a:fillRect/>
                            </a:stretch>
                          </pic:blipFill>
                          <pic:spPr>
                            <a:xfrm>
                              <a:off x="0" y="0"/>
                              <a:ext cx="161925" cy="161925"/>
                            </a:xfrm>
                            <a:prstGeom prst="rect">
                              <a:avLst/>
                            </a:prstGeom>
                          </pic:spPr>
                        </pic:pic>
                      </a:graphicData>
                    </a:graphic>
                  </wp:inline>
                </w:drawing>
              </w:r>
            </w:hyperlink>
            <w:hyperlink r:id="rId26">
              <w:r>
                <w:rPr>
                  <w:rFonts w:ascii="Times New Roman" w:hAnsi="Times New Roman"/>
                  <w:color w:val="0E568C"/>
                  <w:sz w:val="20"/>
                </w:rPr>
                <w:t>Splash Design, Inc. v. Lee, 104 Wash. App. 38, 14 P.3d 879 (Div. 1 2000)</w:t>
              </w:r>
            </w:hyperlink>
            <w:r>
              <w:rPr>
                <w:rFonts w:ascii="Times New Roman" w:hAnsi="Times New Roman"/>
                <w:color w:val="000000"/>
                <w:sz w:val="20"/>
              </w:rPr>
              <w:t>, as amended, (Jan. 11, 2001).</w:t>
            </w:r>
          </w:p>
          <w:p w14:paraId="0D652387"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For comprehensive coverage of the law of privileged communications in Washington, see </w:t>
            </w:r>
            <w:proofErr w:type="spellStart"/>
            <w:r>
              <w:rPr>
                <w:rFonts w:ascii="Times New Roman" w:hAnsi="Times New Roman"/>
                <w:color w:val="000000"/>
                <w:sz w:val="20"/>
              </w:rPr>
              <w:t>Tegland</w:t>
            </w:r>
            <w:proofErr w:type="spellEnd"/>
            <w:r>
              <w:rPr>
                <w:rFonts w:ascii="Times New Roman" w:hAnsi="Times New Roman"/>
                <w:color w:val="000000"/>
                <w:sz w:val="20"/>
              </w:rPr>
              <w:t>, 5A Washington Practice: Evidence Law and Practice §§ 501.1 to 501.114 (6th ed.).</w:t>
            </w:r>
          </w:p>
        </w:tc>
      </w:tr>
      <w:bookmarkStart w:id="23" w:name="co_footnote_I9b3e1670e60011ee9332940182"/>
      <w:tr w:rsidR="0087718B" w14:paraId="5536F3E0" w14:textId="77777777">
        <w:tblPrEx>
          <w:tblCellMar>
            <w:top w:w="0" w:type="dxa"/>
            <w:bottom w:w="0" w:type="dxa"/>
          </w:tblCellMar>
        </w:tblPrEx>
        <w:tc>
          <w:tcPr>
            <w:tcW w:w="600" w:type="dxa"/>
          </w:tcPr>
          <w:p w14:paraId="26430A23" w14:textId="77777777" w:rsidR="0087718B" w:rsidRDefault="00E47289">
            <w:pPr>
              <w:spacing w:after="0" w:line="275" w:lineRule="atLeast"/>
            </w:pPr>
            <w:r>
              <w:fldChar w:fldCharType="begin"/>
            </w:r>
            <w:r>
              <w:instrText>HYPERLINK \l "co_fnRef_I9b3e1670e60011ee9332940182314" \h</w:instrText>
            </w:r>
            <w:r>
              <w:fldChar w:fldCharType="separate"/>
            </w:r>
            <w:r>
              <w:rPr>
                <w:rFonts w:ascii="Times New Roman" w:hAnsi="Times New Roman"/>
                <w:color w:val="0E568C"/>
                <w:sz w:val="20"/>
                <w:vertAlign w:val="superscript"/>
              </w:rPr>
              <w:t>7</w:t>
            </w:r>
            <w:r>
              <w:rPr>
                <w:rFonts w:ascii="Times New Roman" w:hAnsi="Times New Roman"/>
                <w:color w:val="0E568C"/>
                <w:sz w:val="20"/>
                <w:vertAlign w:val="superscript"/>
              </w:rPr>
              <w:fldChar w:fldCharType="end"/>
            </w:r>
            <w:bookmarkEnd w:id="23"/>
          </w:p>
        </w:tc>
        <w:tc>
          <w:tcPr>
            <w:tcW w:w="9450" w:type="dxa"/>
          </w:tcPr>
          <w:p w14:paraId="74E89F94" w14:textId="77777777" w:rsidR="0087718B" w:rsidRDefault="00E47289">
            <w:pPr>
              <w:spacing w:after="0" w:line="240" w:lineRule="auto"/>
            </w:pPr>
            <w:r>
              <w:rPr>
                <w:rFonts w:ascii="Times New Roman" w:hAnsi="Times New Roman"/>
                <w:b/>
                <w:color w:val="000000"/>
                <w:sz w:val="20"/>
              </w:rPr>
              <w:t>Waiver</w:t>
            </w:r>
          </w:p>
          <w:p w14:paraId="1B3ED9D1"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See </w:t>
            </w:r>
            <w:proofErr w:type="spellStart"/>
            <w:r>
              <w:rPr>
                <w:rFonts w:ascii="Times New Roman" w:hAnsi="Times New Roman"/>
                <w:color w:val="000000"/>
                <w:sz w:val="20"/>
              </w:rPr>
              <w:t>Tegland</w:t>
            </w:r>
            <w:proofErr w:type="spellEnd"/>
            <w:r>
              <w:rPr>
                <w:rFonts w:ascii="Times New Roman" w:hAnsi="Times New Roman"/>
                <w:color w:val="000000"/>
                <w:sz w:val="20"/>
              </w:rPr>
              <w:t>, 5A Washington Practice: Evidence Law and Practice §§ 501.26 to 501.28 (6th ed.) (concerning waiver of attorney-client privilege). Most of the other privileges may be similarly waived.</w:t>
            </w:r>
          </w:p>
        </w:tc>
      </w:tr>
      <w:bookmarkStart w:id="24" w:name="co_footnote_I9b3e1671e60011ee9332940182"/>
      <w:tr w:rsidR="0087718B" w14:paraId="39FA173F" w14:textId="77777777">
        <w:tblPrEx>
          <w:tblCellMar>
            <w:top w:w="0" w:type="dxa"/>
            <w:bottom w:w="0" w:type="dxa"/>
          </w:tblCellMar>
        </w:tblPrEx>
        <w:tc>
          <w:tcPr>
            <w:tcW w:w="600" w:type="dxa"/>
          </w:tcPr>
          <w:p w14:paraId="3836C71F" w14:textId="77777777" w:rsidR="0087718B" w:rsidRDefault="00E47289">
            <w:pPr>
              <w:spacing w:after="0" w:line="275" w:lineRule="atLeast"/>
            </w:pPr>
            <w:r>
              <w:fldChar w:fldCharType="begin"/>
            </w:r>
            <w:r>
              <w:instrText>HYPERLINK \l "co_fnRef_I9b3e1671e60011ee9332940182314" \h</w:instrText>
            </w:r>
            <w:r>
              <w:fldChar w:fldCharType="separate"/>
            </w:r>
            <w:r>
              <w:rPr>
                <w:rFonts w:ascii="Times New Roman" w:hAnsi="Times New Roman"/>
                <w:color w:val="0E568C"/>
                <w:sz w:val="20"/>
                <w:vertAlign w:val="superscript"/>
              </w:rPr>
              <w:t>8</w:t>
            </w:r>
            <w:r>
              <w:rPr>
                <w:rFonts w:ascii="Times New Roman" w:hAnsi="Times New Roman"/>
                <w:color w:val="0E568C"/>
                <w:sz w:val="20"/>
                <w:vertAlign w:val="superscript"/>
              </w:rPr>
              <w:fldChar w:fldCharType="end"/>
            </w:r>
            <w:bookmarkEnd w:id="24"/>
          </w:p>
        </w:tc>
        <w:tc>
          <w:tcPr>
            <w:tcW w:w="9450" w:type="dxa"/>
          </w:tcPr>
          <w:p w14:paraId="2881B592" w14:textId="77777777" w:rsidR="0087718B" w:rsidRDefault="00E47289">
            <w:pPr>
              <w:spacing w:after="0" w:line="240" w:lineRule="auto"/>
            </w:pPr>
            <w:r>
              <w:rPr>
                <w:rFonts w:ascii="Times New Roman" w:hAnsi="Times New Roman"/>
                <w:b/>
                <w:color w:val="000000"/>
                <w:sz w:val="20"/>
              </w:rPr>
              <w:t xml:space="preserve">Work product </w:t>
            </w:r>
            <w:proofErr w:type="gramStart"/>
            <w:r>
              <w:rPr>
                <w:rFonts w:ascii="Times New Roman" w:hAnsi="Times New Roman"/>
                <w:b/>
                <w:color w:val="000000"/>
                <w:sz w:val="20"/>
              </w:rPr>
              <w:t>rule</w:t>
            </w:r>
            <w:proofErr w:type="gramEnd"/>
          </w:p>
          <w:p w14:paraId="131F7C8E"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The work product rule is discussed in </w:t>
            </w:r>
            <w:hyperlink r:id="rId27">
              <w:r>
                <w:rPr>
                  <w:rFonts w:ascii="Times New Roman" w:hAnsi="Times New Roman"/>
                  <w:color w:val="0E568C"/>
                  <w:sz w:val="20"/>
                </w:rPr>
                <w:t>§§ 13:9 et seq.</w:t>
              </w:r>
            </w:hyperlink>
          </w:p>
        </w:tc>
      </w:tr>
      <w:bookmarkStart w:id="25" w:name="co_footnote_I9b3e1673e60011ee9332940182"/>
      <w:tr w:rsidR="0087718B" w14:paraId="1A2CB29C" w14:textId="77777777">
        <w:tblPrEx>
          <w:tblCellMar>
            <w:top w:w="0" w:type="dxa"/>
            <w:bottom w:w="0" w:type="dxa"/>
          </w:tblCellMar>
        </w:tblPrEx>
        <w:tc>
          <w:tcPr>
            <w:tcW w:w="600" w:type="dxa"/>
          </w:tcPr>
          <w:p w14:paraId="4A5AA68D" w14:textId="77777777" w:rsidR="0087718B" w:rsidRDefault="00E47289">
            <w:pPr>
              <w:spacing w:after="0" w:line="275" w:lineRule="atLeast"/>
            </w:pPr>
            <w:r>
              <w:fldChar w:fldCharType="begin"/>
            </w:r>
            <w:r>
              <w:instrText>HYPERLINK \l "co_fnRef_I9b3e1673e60011ee9332940182314" \h</w:instrText>
            </w:r>
            <w:r>
              <w:fldChar w:fldCharType="separate"/>
            </w:r>
            <w:r>
              <w:rPr>
                <w:rFonts w:ascii="Times New Roman" w:hAnsi="Times New Roman"/>
                <w:color w:val="0E568C"/>
                <w:sz w:val="20"/>
                <w:vertAlign w:val="superscript"/>
              </w:rPr>
              <w:t>9</w:t>
            </w:r>
            <w:r>
              <w:rPr>
                <w:rFonts w:ascii="Times New Roman" w:hAnsi="Times New Roman"/>
                <w:color w:val="0E568C"/>
                <w:sz w:val="20"/>
                <w:vertAlign w:val="superscript"/>
              </w:rPr>
              <w:fldChar w:fldCharType="end"/>
            </w:r>
            <w:bookmarkEnd w:id="25"/>
          </w:p>
        </w:tc>
        <w:tc>
          <w:tcPr>
            <w:tcW w:w="9450" w:type="dxa"/>
          </w:tcPr>
          <w:p w14:paraId="12B440D3" w14:textId="77777777" w:rsidR="0087718B" w:rsidRDefault="00E47289">
            <w:pPr>
              <w:spacing w:after="0" w:line="240" w:lineRule="auto"/>
            </w:pPr>
            <w:r>
              <w:rPr>
                <w:rFonts w:ascii="Times New Roman" w:hAnsi="Times New Roman"/>
                <w:b/>
                <w:color w:val="000000"/>
                <w:sz w:val="20"/>
              </w:rPr>
              <w:t>Experts</w:t>
            </w:r>
          </w:p>
          <w:p w14:paraId="28278AB6"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For example, materials written or compiled by a consulting expert are normally protected against discovery. See </w:t>
            </w:r>
            <w:hyperlink r:id="rId28">
              <w:r>
                <w:rPr>
                  <w:rFonts w:ascii="Times New Roman" w:hAnsi="Times New Roman"/>
                  <w:color w:val="0E568C"/>
                  <w:sz w:val="20"/>
                </w:rPr>
                <w:t>§ 13:10</w:t>
              </w:r>
            </w:hyperlink>
            <w:r>
              <w:rPr>
                <w:rFonts w:ascii="Times New Roman" w:hAnsi="Times New Roman"/>
                <w:color w:val="000000"/>
                <w:sz w:val="20"/>
              </w:rPr>
              <w:t>.</w:t>
            </w:r>
          </w:p>
          <w:p w14:paraId="10013A77"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For a general discussion of the scope of discovery with respect to experts, see </w:t>
            </w:r>
            <w:hyperlink r:id="rId29">
              <w:r>
                <w:rPr>
                  <w:rFonts w:ascii="Times New Roman" w:hAnsi="Times New Roman"/>
                  <w:color w:val="0E568C"/>
                  <w:sz w:val="20"/>
                </w:rPr>
                <w:t>§§ 14:1 et seq.</w:t>
              </w:r>
            </w:hyperlink>
          </w:p>
        </w:tc>
      </w:tr>
      <w:bookmarkStart w:id="26" w:name="co_footnote_I9b3e1676e60011ee9332940182"/>
      <w:tr w:rsidR="0087718B" w14:paraId="5C89CE2D" w14:textId="77777777">
        <w:tblPrEx>
          <w:tblCellMar>
            <w:top w:w="0" w:type="dxa"/>
            <w:bottom w:w="0" w:type="dxa"/>
          </w:tblCellMar>
        </w:tblPrEx>
        <w:tc>
          <w:tcPr>
            <w:tcW w:w="600" w:type="dxa"/>
          </w:tcPr>
          <w:p w14:paraId="3FCCDA2C" w14:textId="77777777" w:rsidR="0087718B" w:rsidRDefault="00E47289">
            <w:pPr>
              <w:spacing w:after="0" w:line="275" w:lineRule="atLeast"/>
            </w:pPr>
            <w:r>
              <w:lastRenderedPageBreak/>
              <w:fldChar w:fldCharType="begin"/>
            </w:r>
            <w:r>
              <w:instrText>HYPERLINK \l "co_fnRef_I9b3e1676e60011ee9332940182314" \h</w:instrText>
            </w:r>
            <w:r>
              <w:fldChar w:fldCharType="separate"/>
            </w:r>
            <w:r>
              <w:rPr>
                <w:rFonts w:ascii="Times New Roman" w:hAnsi="Times New Roman"/>
                <w:color w:val="0E568C"/>
                <w:sz w:val="20"/>
                <w:vertAlign w:val="superscript"/>
              </w:rPr>
              <w:t>10</w:t>
            </w:r>
            <w:r>
              <w:rPr>
                <w:rFonts w:ascii="Times New Roman" w:hAnsi="Times New Roman"/>
                <w:color w:val="0E568C"/>
                <w:sz w:val="20"/>
                <w:vertAlign w:val="superscript"/>
              </w:rPr>
              <w:fldChar w:fldCharType="end"/>
            </w:r>
            <w:bookmarkEnd w:id="26"/>
          </w:p>
        </w:tc>
        <w:tc>
          <w:tcPr>
            <w:tcW w:w="9450" w:type="dxa"/>
          </w:tcPr>
          <w:p w14:paraId="30DA991C" w14:textId="77777777" w:rsidR="0087718B" w:rsidRDefault="00E47289">
            <w:pPr>
              <w:spacing w:after="0" w:line="240" w:lineRule="auto"/>
            </w:pPr>
            <w:r>
              <w:rPr>
                <w:rFonts w:ascii="Times New Roman" w:hAnsi="Times New Roman"/>
                <w:b/>
                <w:color w:val="000000"/>
                <w:sz w:val="20"/>
              </w:rPr>
              <w:t>Not relevant</w:t>
            </w:r>
          </w:p>
          <w:p w14:paraId="4D3099D1"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See, e.g., </w:t>
            </w:r>
            <w:hyperlink r:id="rId30">
              <w:r>
                <w:rPr>
                  <w:rFonts w:ascii="Times New Roman" w:hAnsi="Times New Roman"/>
                  <w:color w:val="0E568C"/>
                  <w:sz w:val="20"/>
                </w:rPr>
                <w:t>Morgan v. PeaceHealth, Inc., 101 Wash. App. 750, 14 P.3d 773 (Div. 1 2000)</w:t>
              </w:r>
            </w:hyperlink>
            <w:r>
              <w:rPr>
                <w:rFonts w:ascii="Times New Roman" w:hAnsi="Times New Roman"/>
                <w:color w:val="000000"/>
                <w:sz w:val="20"/>
              </w:rPr>
              <w:t xml:space="preserve"> (no abuse of discretion in refusing to compel discovery that sought materials about discipline of other health care providers, which were not relevant to the central issue of whether hospital met standards of review in revoking physician's hospital privileges).</w:t>
            </w:r>
          </w:p>
        </w:tc>
      </w:tr>
      <w:bookmarkStart w:id="27" w:name="co_footnote_I9b3e1677e60011ee9332940182"/>
      <w:tr w:rsidR="0087718B" w14:paraId="165021D7" w14:textId="77777777">
        <w:tblPrEx>
          <w:tblCellMar>
            <w:top w:w="0" w:type="dxa"/>
            <w:bottom w:w="0" w:type="dxa"/>
          </w:tblCellMar>
        </w:tblPrEx>
        <w:tc>
          <w:tcPr>
            <w:tcW w:w="600" w:type="dxa"/>
          </w:tcPr>
          <w:p w14:paraId="2DB779BA" w14:textId="77777777" w:rsidR="0087718B" w:rsidRDefault="00E47289">
            <w:pPr>
              <w:spacing w:after="0" w:line="275" w:lineRule="atLeast"/>
            </w:pPr>
            <w:r>
              <w:fldChar w:fldCharType="begin"/>
            </w:r>
            <w:r>
              <w:instrText>HYPERLINK \l "co_fnRef_I9b3e1677e60011ee9332940182314" \h</w:instrText>
            </w:r>
            <w:r>
              <w:fldChar w:fldCharType="separate"/>
            </w:r>
            <w:r>
              <w:rPr>
                <w:rFonts w:ascii="Times New Roman" w:hAnsi="Times New Roman"/>
                <w:color w:val="0E568C"/>
                <w:sz w:val="20"/>
                <w:vertAlign w:val="superscript"/>
              </w:rPr>
              <w:t>11</w:t>
            </w:r>
            <w:r>
              <w:rPr>
                <w:rFonts w:ascii="Times New Roman" w:hAnsi="Times New Roman"/>
                <w:color w:val="0E568C"/>
                <w:sz w:val="20"/>
                <w:vertAlign w:val="superscript"/>
              </w:rPr>
              <w:fldChar w:fldCharType="end"/>
            </w:r>
            <w:bookmarkEnd w:id="27"/>
          </w:p>
        </w:tc>
        <w:tc>
          <w:tcPr>
            <w:tcW w:w="9450" w:type="dxa"/>
          </w:tcPr>
          <w:p w14:paraId="72C5A531" w14:textId="77777777" w:rsidR="0087718B" w:rsidRDefault="00E47289">
            <w:pPr>
              <w:spacing w:after="0" w:line="240" w:lineRule="auto"/>
            </w:pPr>
            <w:r>
              <w:rPr>
                <w:rFonts w:ascii="Times New Roman" w:hAnsi="Times New Roman"/>
                <w:b/>
                <w:color w:val="000000"/>
                <w:sz w:val="20"/>
              </w:rPr>
              <w:t>Legal conclusion</w:t>
            </w:r>
          </w:p>
          <w:p w14:paraId="235F33BA"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See </w:t>
            </w:r>
            <w:hyperlink r:id="rId31">
              <w:r>
                <w:rPr>
                  <w:rFonts w:ascii="Times New Roman" w:hAnsi="Times New Roman"/>
                  <w:color w:val="0E568C"/>
                  <w:sz w:val="20"/>
                </w:rPr>
                <w:t>O'Brien v. International Broth. of Elec. Workers, 443 F. Supp. 1182, 25 Fed. R. Serv. 2d 1036 (N.D. Ga. 1977)</w:t>
              </w:r>
            </w:hyperlink>
            <w:r>
              <w:rPr>
                <w:rFonts w:ascii="Times New Roman" w:hAnsi="Times New Roman"/>
                <w:color w:val="000000"/>
                <w:sz w:val="20"/>
              </w:rPr>
              <w:t xml:space="preserve"> (trial court rejected interrogatory seeking explanation of why certain provisions of union's constitution were not superseded by a federal statute).</w:t>
            </w:r>
          </w:p>
        </w:tc>
      </w:tr>
      <w:bookmarkStart w:id="28" w:name="co_footnote_I9b3e3d80e60011ee9332940182"/>
      <w:tr w:rsidR="0087718B" w14:paraId="2B0BE4DF" w14:textId="77777777">
        <w:tblPrEx>
          <w:tblCellMar>
            <w:top w:w="0" w:type="dxa"/>
            <w:bottom w:w="0" w:type="dxa"/>
          </w:tblCellMar>
        </w:tblPrEx>
        <w:tc>
          <w:tcPr>
            <w:tcW w:w="600" w:type="dxa"/>
          </w:tcPr>
          <w:p w14:paraId="1B2F0295" w14:textId="77777777" w:rsidR="0087718B" w:rsidRDefault="00E47289">
            <w:pPr>
              <w:spacing w:after="0" w:line="275" w:lineRule="atLeast"/>
            </w:pPr>
            <w:r>
              <w:fldChar w:fldCharType="begin"/>
            </w:r>
            <w:r>
              <w:instrText>HYPERLINK \l "co_fnRef_I9b3e3d80e60011ee9332940182314" \h</w:instrText>
            </w:r>
            <w:r>
              <w:fldChar w:fldCharType="separate"/>
            </w:r>
            <w:r>
              <w:rPr>
                <w:rFonts w:ascii="Times New Roman" w:hAnsi="Times New Roman"/>
                <w:color w:val="0E568C"/>
                <w:sz w:val="20"/>
                <w:vertAlign w:val="superscript"/>
              </w:rPr>
              <w:t>12</w:t>
            </w:r>
            <w:r>
              <w:rPr>
                <w:rFonts w:ascii="Times New Roman" w:hAnsi="Times New Roman"/>
                <w:color w:val="0E568C"/>
                <w:sz w:val="20"/>
                <w:vertAlign w:val="superscript"/>
              </w:rPr>
              <w:fldChar w:fldCharType="end"/>
            </w:r>
            <w:bookmarkEnd w:id="28"/>
          </w:p>
        </w:tc>
        <w:tc>
          <w:tcPr>
            <w:tcW w:w="9450" w:type="dxa"/>
          </w:tcPr>
          <w:p w14:paraId="7582E0EC" w14:textId="77777777" w:rsidR="0087718B" w:rsidRDefault="00E47289">
            <w:pPr>
              <w:spacing w:after="0" w:line="240" w:lineRule="auto"/>
            </w:pPr>
            <w:r>
              <w:rPr>
                <w:rFonts w:ascii="Times New Roman" w:hAnsi="Times New Roman"/>
                <w:b/>
                <w:color w:val="000000"/>
                <w:sz w:val="20"/>
              </w:rPr>
              <w:t>Legal contentions</w:t>
            </w:r>
          </w:p>
          <w:p w14:paraId="38FBB2EC" w14:textId="77777777" w:rsidR="0087718B" w:rsidRDefault="00E47289">
            <w:pPr>
              <w:pBdr>
                <w:bottom w:val="none" w:sz="0" w:space="8" w:color="auto"/>
              </w:pBdr>
              <w:spacing w:after="0" w:line="240" w:lineRule="auto"/>
              <w:jc w:val="both"/>
            </w:pPr>
            <w:r>
              <w:rPr>
                <w:rFonts w:ascii="Times New Roman" w:hAnsi="Times New Roman"/>
                <w:color w:val="000000"/>
                <w:sz w:val="20"/>
              </w:rPr>
              <w:t xml:space="preserve">See </w:t>
            </w:r>
            <w:hyperlink r:id="rId32">
              <w:r>
                <w:rPr>
                  <w:rFonts w:ascii="Times New Roman" w:hAnsi="Times New Roman"/>
                  <w:color w:val="0E568C"/>
                  <w:sz w:val="20"/>
                </w:rPr>
                <w:t>§ 15:10</w:t>
              </w:r>
            </w:hyperlink>
            <w:r>
              <w:rPr>
                <w:rFonts w:ascii="Times New Roman" w:hAnsi="Times New Roman"/>
                <w:color w:val="000000"/>
                <w:sz w:val="20"/>
              </w:rPr>
              <w:t>.</w:t>
            </w:r>
          </w:p>
        </w:tc>
      </w:tr>
    </w:tbl>
    <w:p w14:paraId="02581063" w14:textId="77777777" w:rsidR="0087718B" w:rsidRDefault="0087718B">
      <w:pPr>
        <w:spacing w:after="0" w:line="240" w:lineRule="auto"/>
        <w:rPr>
          <w:sz w:val="38"/>
        </w:rPr>
      </w:pPr>
    </w:p>
    <w:tbl>
      <w:tblPr>
        <w:tblW w:w="0" w:type="auto"/>
        <w:tblInd w:w="24" w:type="dxa"/>
        <w:tblLayout w:type="fixed"/>
        <w:tblCellMar>
          <w:left w:w="10" w:type="dxa"/>
          <w:right w:w="10" w:type="dxa"/>
        </w:tblCellMar>
        <w:tblLook w:val="04A0" w:firstRow="1" w:lastRow="0" w:firstColumn="1" w:lastColumn="0" w:noHBand="0" w:noVBand="1"/>
      </w:tblPr>
      <w:tblGrid>
        <w:gridCol w:w="4305"/>
        <w:gridCol w:w="5745"/>
      </w:tblGrid>
      <w:tr w:rsidR="0087718B" w14:paraId="744EB7F0" w14:textId="77777777">
        <w:tblPrEx>
          <w:tblCellMar>
            <w:top w:w="0" w:type="dxa"/>
            <w:bottom w:w="0" w:type="dxa"/>
          </w:tblCellMar>
        </w:tblPrEx>
        <w:tc>
          <w:tcPr>
            <w:tcW w:w="4305" w:type="dxa"/>
            <w:tcBorders>
              <w:top w:val="single" w:sz="4" w:space="0" w:color="777777"/>
            </w:tcBorders>
            <w:tcMar>
              <w:top w:w="75" w:type="dxa"/>
              <w:left w:w="24" w:type="dxa"/>
              <w:right w:w="24" w:type="dxa"/>
            </w:tcMar>
          </w:tcPr>
          <w:p w14:paraId="0779637C" w14:textId="77777777" w:rsidR="0087718B" w:rsidRDefault="00E47289">
            <w:pPr>
              <w:spacing w:after="0" w:line="235" w:lineRule="atLeast"/>
            </w:pPr>
            <w:bookmarkStart w:id="29" w:name="co_endOfDocument_1_1"/>
            <w:r>
              <w:rPr>
                <w:rFonts w:ascii="Times New Roman" w:hAnsi="Times New Roman"/>
                <w:b/>
                <w:color w:val="777777"/>
                <w:sz w:val="16"/>
              </w:rPr>
              <w:t>End of Document</w:t>
            </w:r>
          </w:p>
        </w:tc>
        <w:tc>
          <w:tcPr>
            <w:tcW w:w="5745" w:type="dxa"/>
            <w:tcBorders>
              <w:top w:val="single" w:sz="4" w:space="0" w:color="777777"/>
            </w:tcBorders>
            <w:tcMar>
              <w:top w:w="75" w:type="dxa"/>
              <w:left w:w="30" w:type="dxa"/>
              <w:right w:w="30" w:type="dxa"/>
            </w:tcMar>
          </w:tcPr>
          <w:p w14:paraId="56EA4465" w14:textId="77777777" w:rsidR="0087718B" w:rsidRDefault="00E47289">
            <w:pPr>
              <w:spacing w:after="0" w:line="235" w:lineRule="atLeast"/>
              <w:jc w:val="right"/>
            </w:pPr>
            <w:r>
              <w:rPr>
                <w:rFonts w:ascii="Times New Roman" w:hAnsi="Times New Roman"/>
                <w:color w:val="777777"/>
                <w:sz w:val="20"/>
              </w:rPr>
              <w:t>© 2024 Thomson Reuters. No claim to original U.S. Government Works.</w:t>
            </w:r>
          </w:p>
        </w:tc>
      </w:tr>
      <w:bookmarkEnd w:id="29"/>
    </w:tbl>
    <w:p w14:paraId="0AF35A44" w14:textId="77777777" w:rsidR="00E47289" w:rsidRDefault="00E47289"/>
    <w:sectPr w:rsidR="00000000">
      <w:headerReference w:type="even" r:id="rId33"/>
      <w:headerReference w:type="default" r:id="rId34"/>
      <w:footerReference w:type="even" r:id="rId35"/>
      <w:footerReference w:type="default" r:id="rId36"/>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DEAB" w14:textId="77777777" w:rsidR="00E47289" w:rsidRDefault="00E47289">
      <w:pPr>
        <w:spacing w:after="0" w:line="240" w:lineRule="auto"/>
      </w:pPr>
      <w:r>
        <w:separator/>
      </w:r>
    </w:p>
  </w:endnote>
  <w:endnote w:type="continuationSeparator" w:id="0">
    <w:p w14:paraId="53FC45E6" w14:textId="77777777" w:rsidR="00E47289" w:rsidRDefault="00E4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87718B" w14:paraId="4E31B43E" w14:textId="77777777">
      <w:tblPrEx>
        <w:tblCellMar>
          <w:top w:w="0" w:type="dxa"/>
          <w:bottom w:w="0" w:type="dxa"/>
        </w:tblCellMar>
      </w:tblPrEx>
      <w:tc>
        <w:tcPr>
          <w:tcW w:w="9270" w:type="dxa"/>
          <w:tcBorders>
            <w:top w:val="single" w:sz="6" w:space="0" w:color="AAAAAA"/>
          </w:tcBorders>
          <w:tcMar>
            <w:top w:w="60" w:type="dxa"/>
          </w:tcMar>
          <w:vAlign w:val="bottom"/>
        </w:tcPr>
        <w:p w14:paraId="34328279" w14:textId="77777777" w:rsidR="0087718B" w:rsidRDefault="00E47289">
          <w:pPr>
            <w:spacing w:after="0" w:line="240" w:lineRule="auto"/>
          </w:pPr>
          <w:r>
            <w:rPr>
              <w:rFonts w:ascii="Arial" w:hAnsi="Arial"/>
              <w:noProof/>
              <w:color w:val="AAAAAA"/>
              <w:sz w:val="20"/>
            </w:rPr>
            <w:drawing>
              <wp:inline distT="0" distB="0" distL="0" distR="0" wp14:anchorId="034C861C" wp14:editId="29C184F7">
                <wp:extent cx="742950" cy="95250"/>
                <wp:effectExtent l="0" t="0" r="0" b="0"/>
                <wp:docPr id="1692641390" name="Picture 0" descr="Westlaw Logo"/>
                <wp:cNvGraphicFramePr/>
                <a:graphic xmlns:a="http://schemas.openxmlformats.org/drawingml/2006/main">
                  <a:graphicData uri="http://schemas.openxmlformats.org/drawingml/2006/picture">
                    <pic:pic xmlns:pic="http://schemas.openxmlformats.org/drawingml/2006/picture">
                      <pic:nvPicPr>
                        <pic:cNvPr id="1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c>
        <w:tcPr>
          <w:tcW w:w="690" w:type="dxa"/>
          <w:tcBorders>
            <w:top w:val="single" w:sz="6" w:space="0" w:color="AAAAAA"/>
          </w:tcBorders>
          <w:tcMar>
            <w:top w:w="60" w:type="dxa"/>
          </w:tcMar>
        </w:tcPr>
        <w:p w14:paraId="10C41A4D" w14:textId="77777777" w:rsidR="0087718B" w:rsidRDefault="00E47289">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87718B" w14:paraId="0C91A834" w14:textId="77777777">
      <w:tblPrEx>
        <w:tblCellMar>
          <w:top w:w="0" w:type="dxa"/>
          <w:bottom w:w="0" w:type="dxa"/>
        </w:tblCellMar>
      </w:tblPrEx>
      <w:tc>
        <w:tcPr>
          <w:tcW w:w="9270" w:type="dxa"/>
          <w:tcBorders>
            <w:top w:val="single" w:sz="6" w:space="0" w:color="AAAAAA"/>
          </w:tcBorders>
          <w:tcMar>
            <w:top w:w="60" w:type="dxa"/>
          </w:tcMar>
          <w:vAlign w:val="bottom"/>
        </w:tcPr>
        <w:p w14:paraId="20C6AE2C" w14:textId="77777777" w:rsidR="0087718B" w:rsidRDefault="00E47289">
          <w:pPr>
            <w:spacing w:after="0" w:line="240" w:lineRule="auto"/>
          </w:pPr>
          <w:r>
            <w:rPr>
              <w:rFonts w:ascii="Arial" w:hAnsi="Arial"/>
              <w:noProof/>
              <w:color w:val="AAAAAA"/>
              <w:sz w:val="20"/>
            </w:rPr>
            <w:drawing>
              <wp:inline distT="0" distB="0" distL="0" distR="0" wp14:anchorId="0016B255" wp14:editId="01C40CA6">
                <wp:extent cx="742950" cy="95250"/>
                <wp:effectExtent l="0" t="0" r="0" b="0"/>
                <wp:docPr id="13" name="Picture 0" descr="Westlaw Logo"/>
                <wp:cNvGraphicFramePr/>
                <a:graphic xmlns:a="http://schemas.openxmlformats.org/drawingml/2006/main">
                  <a:graphicData uri="http://schemas.openxmlformats.org/drawingml/2006/picture">
                    <pic:pic xmlns:pic="http://schemas.openxmlformats.org/drawingml/2006/picture">
                      <pic:nvPicPr>
                        <pic:cNvPr id="1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2024 Thomson Reuters. No claim to original U.S. Government Works.</w:t>
          </w:r>
        </w:p>
      </w:tc>
      <w:tc>
        <w:tcPr>
          <w:tcW w:w="690" w:type="dxa"/>
          <w:tcBorders>
            <w:top w:val="single" w:sz="6" w:space="0" w:color="AAAAAA"/>
          </w:tcBorders>
          <w:tcMar>
            <w:top w:w="60" w:type="dxa"/>
          </w:tcMar>
        </w:tcPr>
        <w:p w14:paraId="01148DD4" w14:textId="77777777" w:rsidR="0087718B" w:rsidRDefault="00E47289">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A037" w14:textId="77777777" w:rsidR="00E47289" w:rsidRDefault="00E47289">
      <w:pPr>
        <w:spacing w:after="0" w:line="240" w:lineRule="auto"/>
      </w:pPr>
      <w:r>
        <w:separator/>
      </w:r>
    </w:p>
  </w:footnote>
  <w:footnote w:type="continuationSeparator" w:id="0">
    <w:p w14:paraId="0664DD56" w14:textId="77777777" w:rsidR="00E47289" w:rsidRDefault="00E4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87718B" w14:paraId="457D6644"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2CB46A19" w14:textId="77777777" w:rsidR="0087718B" w:rsidRDefault="00E47289">
          <w:pPr>
            <w:spacing w:after="0" w:line="240" w:lineRule="auto"/>
          </w:pPr>
          <w:r>
            <w:rPr>
              <w:rFonts w:ascii="Arial" w:hAnsi="Arial"/>
              <w:b/>
              <w:color w:val="555555"/>
              <w:sz w:val="18"/>
            </w:rPr>
            <w:t xml:space="preserve">§ 15:9. Nature of responses—Proper objections, 14 Wash. </w:t>
          </w:r>
          <w:proofErr w:type="spellStart"/>
          <w:r>
            <w:rPr>
              <w:rFonts w:ascii="Arial" w:hAnsi="Arial"/>
              <w:b/>
              <w:color w:val="555555"/>
              <w:sz w:val="18"/>
            </w:rPr>
            <w:t>Prac</w:t>
          </w:r>
          <w:proofErr w:type="spellEnd"/>
          <w:r>
            <w:rPr>
              <w:rFonts w:ascii="Arial" w:hAnsi="Arial"/>
              <w:b/>
              <w:color w:val="555555"/>
              <w:sz w:val="18"/>
            </w:rPr>
            <w:t>., Civil Procedure §...</w:t>
          </w:r>
        </w:p>
      </w:tc>
      <w:tc>
        <w:tcPr>
          <w:tcW w:w="705" w:type="dxa"/>
          <w:tcBorders>
            <w:bottom w:val="single" w:sz="6" w:space="0" w:color="AAAAAA"/>
          </w:tcBorders>
          <w:tcMar>
            <w:top w:w="390" w:type="dxa"/>
            <w:bottom w:w="60" w:type="dxa"/>
          </w:tcMar>
        </w:tcPr>
        <w:p w14:paraId="20570592" w14:textId="77777777" w:rsidR="0087718B" w:rsidRDefault="0087718B">
          <w:pPr>
            <w:spacing w:after="0" w:line="240" w:lineRule="auto"/>
            <w:rPr>
              <w:rFonts w:ascii="Arial" w:hAnsi="Arial"/>
              <w:color w:val="000000"/>
              <w:sz w:val="18"/>
            </w:rPr>
          </w:pPr>
        </w:p>
      </w:tc>
    </w:tr>
    <w:tr w:rsidR="00E47289" w14:paraId="25B67948" w14:textId="77777777" w:rsidTr="00E47289">
      <w:tblPrEx>
        <w:tblCellMar>
          <w:top w:w="0" w:type="dxa"/>
          <w:bottom w:w="0" w:type="dxa"/>
        </w:tblCellMar>
      </w:tblPrEx>
      <w:tc>
        <w:tcPr>
          <w:tcW w:w="10065" w:type="dxa"/>
          <w:gridSpan w:val="2"/>
        </w:tcPr>
        <w:p w14:paraId="76C90954" w14:textId="77777777" w:rsidR="0087718B" w:rsidRDefault="0087718B">
          <w:pPr>
            <w:spacing w:after="0" w:line="240" w:lineRule="auto"/>
            <w:rPr>
              <w:rFonts w:ascii="Arial" w:hAnsi="Arial"/>
              <w:color w:val="000000"/>
              <w:sz w:val="18"/>
            </w:rPr>
          </w:pPr>
        </w:p>
      </w:tc>
    </w:tr>
  </w:tbl>
  <w:p w14:paraId="64579506" w14:textId="77777777" w:rsidR="0087718B" w:rsidRDefault="00E47289">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87718B" w14:paraId="727A3952"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173D03E3" w14:textId="77777777" w:rsidR="0087718B" w:rsidRDefault="00E47289">
          <w:pPr>
            <w:spacing w:after="0" w:line="240" w:lineRule="auto"/>
          </w:pPr>
          <w:r>
            <w:rPr>
              <w:rFonts w:ascii="Arial" w:hAnsi="Arial"/>
              <w:b/>
              <w:color w:val="555555"/>
              <w:sz w:val="18"/>
            </w:rPr>
            <w:t xml:space="preserve">§ 15:9. Nature of responses—Proper objections, 14 Wash. </w:t>
          </w:r>
          <w:proofErr w:type="spellStart"/>
          <w:r>
            <w:rPr>
              <w:rFonts w:ascii="Arial" w:hAnsi="Arial"/>
              <w:b/>
              <w:color w:val="555555"/>
              <w:sz w:val="18"/>
            </w:rPr>
            <w:t>Prac</w:t>
          </w:r>
          <w:proofErr w:type="spellEnd"/>
          <w:r>
            <w:rPr>
              <w:rFonts w:ascii="Arial" w:hAnsi="Arial"/>
              <w:b/>
              <w:color w:val="555555"/>
              <w:sz w:val="18"/>
            </w:rPr>
            <w:t>., Civil Procedure §...</w:t>
          </w:r>
        </w:p>
      </w:tc>
      <w:tc>
        <w:tcPr>
          <w:tcW w:w="705" w:type="dxa"/>
          <w:tcBorders>
            <w:bottom w:val="single" w:sz="6" w:space="0" w:color="AAAAAA"/>
          </w:tcBorders>
          <w:tcMar>
            <w:top w:w="390" w:type="dxa"/>
            <w:bottom w:w="60" w:type="dxa"/>
          </w:tcMar>
        </w:tcPr>
        <w:p w14:paraId="1ACAD5D6" w14:textId="77777777" w:rsidR="0087718B" w:rsidRDefault="0087718B">
          <w:pPr>
            <w:spacing w:after="0" w:line="240" w:lineRule="auto"/>
            <w:rPr>
              <w:rFonts w:ascii="Arial" w:hAnsi="Arial"/>
              <w:color w:val="000000"/>
              <w:sz w:val="18"/>
            </w:rPr>
          </w:pPr>
        </w:p>
      </w:tc>
    </w:tr>
    <w:tr w:rsidR="00E47289" w14:paraId="699A7E45" w14:textId="77777777" w:rsidTr="00E47289">
      <w:tblPrEx>
        <w:tblCellMar>
          <w:top w:w="0" w:type="dxa"/>
          <w:bottom w:w="0" w:type="dxa"/>
        </w:tblCellMar>
      </w:tblPrEx>
      <w:tc>
        <w:tcPr>
          <w:tcW w:w="10065" w:type="dxa"/>
          <w:gridSpan w:val="2"/>
        </w:tcPr>
        <w:p w14:paraId="55F60309" w14:textId="77777777" w:rsidR="0087718B" w:rsidRDefault="0087718B">
          <w:pPr>
            <w:spacing w:after="0" w:line="240" w:lineRule="auto"/>
            <w:rPr>
              <w:rFonts w:ascii="Arial" w:hAnsi="Arial"/>
              <w:color w:val="000000"/>
              <w:sz w:val="18"/>
            </w:rPr>
          </w:pPr>
        </w:p>
      </w:tc>
    </w:tr>
  </w:tbl>
  <w:p w14:paraId="66EAFB66" w14:textId="77777777" w:rsidR="0087718B" w:rsidRDefault="00E47289">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8B"/>
    <w:rsid w:val="0087718B"/>
    <w:rsid w:val="00E472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C8FD"/>
  <w15:docId w15:val="{F5428395-25E0-4AC9-8F09-81C69AD2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Y&amp;serNum=1975104883&amp;pubNum=0000344&amp;originatingDoc=Ia277a38c4afa11dabb94a2113632a110&amp;refType=RP&amp;originationContext=document&amp;vr=3.0&amp;rs=cblt1.0&amp;transitionType=DocumentItem&amp;contextData=(sc.Category)" TargetMode="External"/><Relationship Id="rId18" Type="http://schemas.openxmlformats.org/officeDocument/2006/relationships/hyperlink" Target="https://1.next.westlaw.com/Link/RelatedInformation/Flag?documentGuid=Ie9a4fa42110a11dba224cd6b838f54f9&amp;transitionType=InlineKeyCiteFlags&amp;originationContext=docHeaderFlag&amp;Rank=0&amp;ppcid=dd1ca2e85247436eb319f75beb7ae506&amp;contextData=(sc.Category)" TargetMode="External"/><Relationship Id="rId26" Type="http://schemas.openxmlformats.org/officeDocument/2006/relationships/hyperlink" Target="https://www.westlaw.com/Link/Document/FullText?findType=Y&amp;serNum=2000656050&amp;pubNum=0004645&amp;originatingDoc=Ia277a38c4afa11dabb94a2113632a110&amp;refType=RP&amp;originationContext=document&amp;vr=3.0&amp;rs=cblt1.0&amp;transitionType=DocumentItem&amp;contextData=(sc.Category)" TargetMode="External"/><Relationship Id="rId21" Type="http://schemas.openxmlformats.org/officeDocument/2006/relationships/hyperlink" Target="https://www.westlaw.com/Link/Document/FullText?findType=Y&amp;serNum=1996166926&amp;pubNum=0000344&amp;originatingDoc=Ia277a38c4afa11dabb94a2113632a110&amp;refType=RP&amp;originationContext=document&amp;vr=3.0&amp;rs=cblt1.0&amp;transitionType=DocumentItem&amp;contextData=(sc.Category)"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westlaw.com/Link/Document/FullText?findType=Y&amp;serNum=2000518614&amp;pubNum=0004645&amp;originatingDoc=Ia277a38c4afa11dabb94a2113632a110&amp;refType=RP&amp;originationContext=document&amp;vr=3.0&amp;rs=cblt1.0&amp;transitionType=DocumentItem&amp;contextData=(sc.Category)" TargetMode="External"/><Relationship Id="rId25" Type="http://schemas.openxmlformats.org/officeDocument/2006/relationships/hyperlink" Target="https://1.next.westlaw.com/Link/RelatedInformation/Flag?documentGuid=I0a39f2cef55711d9b386b232635db992&amp;transitionType=InlineKeyCiteFlags&amp;originationContext=docHeaderFlag&amp;Rank=0&amp;ppcid=dd1ca2e85247436eb319f75beb7ae506&amp;contextData=(sc.Category)"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next.westlaw.com/Link/RelatedInformation/Flag?documentGuid=I084fa450f55611d99439b076ef9ec4de&amp;transitionType=InlineKeyCiteFlags&amp;originationContext=docHeaderFlag&amp;Rank=0&amp;ppcid=dd1ca2e85247436eb319f75beb7ae506&amp;contextData=(sc.Category)" TargetMode="External"/><Relationship Id="rId20" Type="http://schemas.openxmlformats.org/officeDocument/2006/relationships/hyperlink" Target="https://www.westlaw.com/Link/Document/FullText?findType=Y&amp;serNum=1997119772&amp;pubNum=0000661&amp;originatingDoc=Ia277a38c4afa11dabb94a2113632a110&amp;refType=RP&amp;originationContext=document&amp;vr=3.0&amp;rs=cblt1.0&amp;transitionType=DocumentItem&amp;contextData=(sc.Category)" TargetMode="External"/><Relationship Id="rId29" Type="http://schemas.openxmlformats.org/officeDocument/2006/relationships/hyperlink" Target="https://www.westlaw.com/Link/Document/FullText?findType=Y&amp;pubNum=131665&amp;cite=WASHPRACTRIALPRACTICECIVILs14%3a1&amp;originatingDoc=Ia277a38c4afa11dabb94a2113632a110&amp;refType=NA&amp;originationContext=document&amp;vr=3.0&amp;rs=cblt1.0&amp;transitionType=DocumentItem&amp;contextData=(sc.Category)" TargetMode="External"/><Relationship Id="rId1" Type="http://schemas.openxmlformats.org/officeDocument/2006/relationships/styles" Target="styles.xml"/><Relationship Id="rId6" Type="http://schemas.openxmlformats.org/officeDocument/2006/relationships/hyperlink" Target="https://1.next.westlaw.com/Link/RelatedInformation/Flag?documentGuid=N64DD33505A2611EF8655B7BB599AB323&amp;transitionType=InlineKeyCiteFlags&amp;originationContext=docHeaderFlag&amp;Rank=0&amp;ppcid=dd1ca2e85247436eb319f75beb7ae506&amp;contextData=(sc.Category)" TargetMode="External"/><Relationship Id="rId11" Type="http://schemas.openxmlformats.org/officeDocument/2006/relationships/hyperlink" Target="https://1.next.westlaw.com/Link/RelatedInformation/Flag?documentGuid=I555a84a0551511d9bf30d7fdf51b6bd4&amp;transitionType=InlineKeyCiteFlags&amp;originationContext=docHeaderFlag&amp;Rank=0&amp;ppcid=dd1ca2e85247436eb319f75beb7ae506&amp;contextData=(sc.Category)" TargetMode="External"/><Relationship Id="rId24" Type="http://schemas.openxmlformats.org/officeDocument/2006/relationships/hyperlink" Target="https://www.westlaw.com/Link/Document/FullText?findType=Y&amp;pubNum=131665&amp;cite=WASHPRACTRIALPRACTICECIVILs15%3a8&amp;originatingDoc=Ia277a38c4afa11dabb94a2113632a110&amp;refType=NA&amp;originationContext=document&amp;vr=3.0&amp;rs=cblt1.0&amp;transitionType=DocumentItem&amp;contextData=(sc.Category)" TargetMode="External"/><Relationship Id="rId32" Type="http://schemas.openxmlformats.org/officeDocument/2006/relationships/hyperlink" Target="https://www.westlaw.com/Link/Document/FullText?findType=Y&amp;pubNum=131665&amp;cite=WASHPRACTRIALPRACTICECIVILs15%3a10&amp;originatingDoc=Ia277a38c4afa11dabb94a2113632a110&amp;refType=NA&amp;originationContext=document&amp;vr=3.0&amp;rs=cblt1.0&amp;transitionType=DocumentItem&amp;contextData=(sc.Category)"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westlaw.com/Link/Document/FullText?findType=Y&amp;serNum=1999066509&amp;pubNum=0000661&amp;originatingDoc=Ia277a38c4afa11dabb94a2113632a110&amp;refType=RP&amp;originationContext=document&amp;vr=3.0&amp;rs=cblt1.0&amp;transitionType=DocumentItem&amp;contextData=(sc.Category)" TargetMode="External"/><Relationship Id="rId23" Type="http://schemas.openxmlformats.org/officeDocument/2006/relationships/hyperlink" Target="https://www.westlaw.com/Link/Document/FullText?findType=Y&amp;serNum=1967128360&amp;pubNum=0000661&amp;originatingDoc=Ia277a38c4afa11dabb94a2113632a110&amp;refType=RP&amp;originationContext=document&amp;vr=3.0&amp;rs=cblt1.0&amp;transitionType=DocumentItem&amp;contextData=(sc.Category)" TargetMode="External"/><Relationship Id="rId28" Type="http://schemas.openxmlformats.org/officeDocument/2006/relationships/hyperlink" Target="https://www.westlaw.com/Link/Document/FullText?findType=Y&amp;pubNum=131665&amp;cite=WASHPRACTRIALPRACTICECIVILs13%3a10&amp;originatingDoc=Ia277a38c4afa11dabb94a2113632a110&amp;refType=NA&amp;originationContext=document&amp;vr=3.0&amp;rs=cblt1.0&amp;transitionType=DocumentItem&amp;contextData=(sc.Category)" TargetMode="External"/><Relationship Id="rId36" Type="http://schemas.openxmlformats.org/officeDocument/2006/relationships/footer" Target="footer2.xml"/><Relationship Id="rId10" Type="http://schemas.openxmlformats.org/officeDocument/2006/relationships/hyperlink" Target="https://www.westlaw.com/Link/Document/FullText?findType=L&amp;pubNum=1003982&amp;cite=WARSUPERCTCIVCR26&amp;originatingDoc=Ia277a38c4afa11dabb94a2113632a110&amp;refType=LQ&amp;originationContext=document&amp;vr=3.0&amp;rs=cblt1.0&amp;transitionType=DocumentItem&amp;contextData=(sc.Category)" TargetMode="External"/><Relationship Id="rId19" Type="http://schemas.openxmlformats.org/officeDocument/2006/relationships/hyperlink" Target="https://www.westlaw.com/Link/Document/FullText?findType=Y&amp;serNum=2009531478&amp;pubNum=0004645&amp;originatingDoc=Ia277a38c4afa11dabb94a2113632a110&amp;refType=RP&amp;originationContext=document&amp;vr=3.0&amp;rs=cblt1.0&amp;transitionType=DocumentItem&amp;contextData=(sc.Category)" TargetMode="External"/><Relationship Id="rId31" Type="http://schemas.openxmlformats.org/officeDocument/2006/relationships/hyperlink" Target="https://www.westlaw.com/Link/Document/FullText?findType=Y&amp;serNum=1978197423&amp;pubNum=0000345&amp;originatingDoc=Ia277a38c4afa11dabb94a2113632a110&amp;refType=RP&amp;originationContext=document&amp;vr=3.0&amp;rs=cblt1.0&amp;transitionType=DocumentItem&amp;contextData=(sc.Category)" TargetMode="External"/><Relationship Id="rId4" Type="http://schemas.openxmlformats.org/officeDocument/2006/relationships/footnotes" Target="footnotes.xml"/><Relationship Id="rId9" Type="http://schemas.openxmlformats.org/officeDocument/2006/relationships/hyperlink" Target="https://1.next.westlaw.com/Link/RelatedInformation/Flag?documentGuid=N64DD33505A2611EF8655B7BB599AB323&amp;transitionType=InlineKeyCiteFlags&amp;originationContext=docHeaderFlag&amp;Rank=0&amp;ppcid=dd1ca2e85247436eb319f75beb7ae506&amp;contextData=(sc.Category)" TargetMode="External"/><Relationship Id="rId14" Type="http://schemas.openxmlformats.org/officeDocument/2006/relationships/hyperlink" Target="https://www.westlaw.com/Link/Document/FullText?findType=Y&amp;serNum=1967128360&amp;pubNum=0000661&amp;originatingDoc=Ia277a38c4afa11dabb94a2113632a110&amp;refType=RP&amp;originationContext=document&amp;vr=3.0&amp;rs=cblt1.0&amp;transitionType=DocumentItem&amp;contextData=(sc.Category)" TargetMode="External"/><Relationship Id="rId22" Type="http://schemas.openxmlformats.org/officeDocument/2006/relationships/hyperlink" Target="https://www.westlaw.com/Link/Document/FullText?findType=Y&amp;serNum=1973103960&amp;pubNum=0000344&amp;originatingDoc=Ia277a38c4afa11dabb94a2113632a110&amp;refType=RP&amp;originationContext=document&amp;vr=3.0&amp;rs=cblt1.0&amp;transitionType=DocumentItem&amp;contextData=(sc.Category)" TargetMode="External"/><Relationship Id="rId27" Type="http://schemas.openxmlformats.org/officeDocument/2006/relationships/hyperlink" Target="https://www.westlaw.com/Link/Document/FullText?findType=Y&amp;pubNum=131665&amp;cite=WASHPRACTRIALPRACTICECIVILs13%3a9&amp;originatingDoc=Ia277a38c4afa11dabb94a2113632a110&amp;refType=NA&amp;originationContext=document&amp;vr=3.0&amp;rs=cblt1.0&amp;transitionType=DocumentItem&amp;contextData=(sc.Category)" TargetMode="External"/><Relationship Id="rId30" Type="http://schemas.openxmlformats.org/officeDocument/2006/relationships/hyperlink" Target="https://www.westlaw.com/Link/Document/FullText?findType=Y&amp;serNum=2000629743&amp;pubNum=0004645&amp;originatingDoc=Ia277a38c4afa11dabb94a2113632a110&amp;refType=RP&amp;originationContext=document&amp;vr=3.0&amp;rs=cblt1.0&amp;transitionType=DocumentItem&amp;contextData=(sc.Category)" TargetMode="External"/><Relationship Id="rId35" Type="http://schemas.openxmlformats.org/officeDocument/2006/relationships/footer" Target="footer1.xml"/><Relationship Id="rId8" Type="http://schemas.openxmlformats.org/officeDocument/2006/relationships/hyperlink" Target="https://www.westlaw.com/Link/Document/FullText?findType=L&amp;pubNum=1003982&amp;cite=WARSUPERCTCIVCR26&amp;originatingDoc=Ia277a38c4afa11dabb94a2113632a110&amp;refType=LQ&amp;originationContext=document&amp;vr=3.0&amp;rs=cblt1.0&amp;transitionType=DocumentItem&amp;contextData=(sc.Category)"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2306</Words>
  <Characters>13147</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Chang</dc:creator>
  <cp:lastModifiedBy>Ken Chang</cp:lastModifiedBy>
  <cp:revision>2</cp:revision>
  <dcterms:created xsi:type="dcterms:W3CDTF">2024-09-26T22:34:00Z</dcterms:created>
  <dcterms:modified xsi:type="dcterms:W3CDTF">2024-09-26T22:34:00Z</dcterms:modified>
</cp:coreProperties>
</file>