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F2" w:rsidRDefault="00C779F2" w:rsidP="00230296">
      <w:pPr>
        <w:pStyle w:val="Heading6"/>
        <w:jc w:val="right"/>
        <w:rPr>
          <w:rFonts w:ascii="Times New Roman" w:hAnsi="Times New Roman"/>
        </w:rPr>
      </w:pPr>
      <w:bookmarkStart w:id="0" w:name="_GoBack"/>
      <w:bookmarkEnd w:id="0"/>
    </w:p>
    <w:p w:rsidR="00C779F2" w:rsidRPr="00AD4CEB" w:rsidRDefault="00C779F2" w:rsidP="00AD4CEB"/>
    <w:p w:rsidR="00C779F2" w:rsidRPr="00230296" w:rsidRDefault="00C779F2" w:rsidP="00230296">
      <w:pPr>
        <w:pStyle w:val="Heading6"/>
        <w:jc w:val="right"/>
        <w:rPr>
          <w:rFonts w:ascii="Times New Roman" w:hAnsi="Times New Roman"/>
        </w:rPr>
      </w:pPr>
      <w:r w:rsidRPr="00230296">
        <w:rPr>
          <w:rFonts w:ascii="Times New Roman" w:hAnsi="Times New Roman"/>
        </w:rPr>
        <w:t xml:space="preserve">SUPREME COURT NO. </w:t>
      </w:r>
      <w:r>
        <w:rPr>
          <w:rFonts w:ascii="Times New Roman" w:hAnsi="Times New Roman"/>
        </w:rPr>
        <w:t>95374-1</w:t>
      </w:r>
    </w:p>
    <w:p w:rsidR="00C779F2" w:rsidRDefault="00C779F2" w:rsidP="00230296"/>
    <w:p w:rsidR="00C779F2" w:rsidRDefault="00C779F2" w:rsidP="00230296">
      <w:pPr>
        <w:jc w:val="center"/>
      </w:pPr>
      <w:r>
        <w:t>IN THE SUPREME COURT OF THE STATE OF WASHINGTON</w:t>
      </w:r>
    </w:p>
    <w:p w:rsidR="00C779F2" w:rsidRDefault="00C779F2" w:rsidP="00230296">
      <w:r>
        <w:t>____________________________________________________________</w:t>
      </w:r>
    </w:p>
    <w:p w:rsidR="00C779F2" w:rsidRDefault="00C779F2" w:rsidP="00230296">
      <w:r>
        <w:t>____________________________________________________________</w:t>
      </w:r>
    </w:p>
    <w:p w:rsidR="00C779F2" w:rsidRDefault="00C779F2" w:rsidP="00230296"/>
    <w:p w:rsidR="00C779F2" w:rsidRDefault="00C779F2" w:rsidP="00230296">
      <w:pPr>
        <w:jc w:val="center"/>
      </w:pPr>
      <w:r>
        <w:t>STATE OF WASHINGTON,</w:t>
      </w:r>
    </w:p>
    <w:p w:rsidR="00C779F2" w:rsidRDefault="00C779F2" w:rsidP="00230296">
      <w:pPr>
        <w:jc w:val="center"/>
      </w:pPr>
    </w:p>
    <w:p w:rsidR="00C779F2" w:rsidRDefault="00C779F2" w:rsidP="00230296">
      <w:pPr>
        <w:pStyle w:val="FootnoteTex"/>
        <w:jc w:val="center"/>
        <w:rPr>
          <w:szCs w:val="20"/>
        </w:rPr>
      </w:pPr>
      <w:r>
        <w:rPr>
          <w:szCs w:val="20"/>
        </w:rPr>
        <w:t>Respondent / Cross-Petitioner</w:t>
      </w:r>
    </w:p>
    <w:p w:rsidR="00C779F2" w:rsidRDefault="00C779F2" w:rsidP="00230296">
      <w:pPr>
        <w:jc w:val="center"/>
      </w:pPr>
    </w:p>
    <w:p w:rsidR="00C779F2" w:rsidRDefault="00C779F2" w:rsidP="00230296">
      <w:pPr>
        <w:jc w:val="center"/>
      </w:pPr>
      <w:r>
        <w:t>v.</w:t>
      </w:r>
    </w:p>
    <w:p w:rsidR="00C779F2" w:rsidRDefault="00C779F2" w:rsidP="00230296">
      <w:pPr>
        <w:jc w:val="center"/>
        <w:rPr>
          <w:caps/>
        </w:rPr>
      </w:pPr>
    </w:p>
    <w:p w:rsidR="00C779F2" w:rsidRDefault="00C779F2" w:rsidP="00230296">
      <w:pPr>
        <w:jc w:val="center"/>
        <w:rPr>
          <w:caps/>
        </w:rPr>
      </w:pPr>
      <w:r>
        <w:rPr>
          <w:caps/>
        </w:rPr>
        <w:t xml:space="preserve">ARTHUR THOMAS, </w:t>
      </w:r>
    </w:p>
    <w:p w:rsidR="00C779F2" w:rsidRDefault="00C779F2" w:rsidP="00230296">
      <w:pPr>
        <w:jc w:val="center"/>
      </w:pPr>
    </w:p>
    <w:p w:rsidR="00C779F2" w:rsidRDefault="00C779F2" w:rsidP="00230296">
      <w:pPr>
        <w:jc w:val="center"/>
      </w:pPr>
      <w:r>
        <w:t>Petitioner / Cross-Respondent.</w:t>
      </w:r>
    </w:p>
    <w:p w:rsidR="00C779F2" w:rsidRDefault="00C779F2" w:rsidP="00230296">
      <w:r>
        <w:t>____________________________________________________________</w:t>
      </w:r>
    </w:p>
    <w:p w:rsidR="00C779F2" w:rsidRDefault="00C779F2" w:rsidP="00230296">
      <w:r>
        <w:t>____________________________________________________________</w:t>
      </w:r>
    </w:p>
    <w:p w:rsidR="00C779F2" w:rsidRDefault="00C779F2" w:rsidP="00230296"/>
    <w:p w:rsidR="00C779F2" w:rsidRDefault="00C779F2" w:rsidP="00230296">
      <w:pPr>
        <w:jc w:val="center"/>
      </w:pPr>
      <w:r>
        <w:t>ON APPEAL FROM THE SUPERIOR COURT OF THE</w:t>
      </w:r>
    </w:p>
    <w:p w:rsidR="00C779F2" w:rsidRPr="00230296" w:rsidRDefault="00C779F2" w:rsidP="00230296">
      <w:pPr>
        <w:pStyle w:val="Heading5"/>
        <w:jc w:val="center"/>
        <w:rPr>
          <w:rFonts w:ascii="Times New Roman" w:hAnsi="Times New Roman"/>
        </w:rPr>
      </w:pPr>
      <w:r w:rsidRPr="00230296">
        <w:rPr>
          <w:rFonts w:ascii="Times New Roman" w:hAnsi="Times New Roman"/>
        </w:rPr>
        <w:t>STATE OF WASHINGTON FOR KING COUNTY</w:t>
      </w:r>
    </w:p>
    <w:p w:rsidR="00C779F2" w:rsidRDefault="00C779F2" w:rsidP="00230296">
      <w:pPr>
        <w:pStyle w:val="Heading7"/>
        <w:rPr>
          <w:rFonts w:ascii="Times New Roman" w:hAnsi="Times New Roman"/>
        </w:rPr>
      </w:pPr>
    </w:p>
    <w:p w:rsidR="00C779F2" w:rsidRDefault="00C779F2" w:rsidP="00230296">
      <w:pPr>
        <w:tabs>
          <w:tab w:val="center" w:pos="3600"/>
        </w:tabs>
        <w:spacing w:line="240" w:lineRule="atLeast"/>
        <w:jc w:val="center"/>
        <w:rPr>
          <w:spacing w:val="-3"/>
        </w:rPr>
      </w:pPr>
      <w:r w:rsidRPr="00A529DD">
        <w:rPr>
          <w:spacing w:val="-3"/>
        </w:rPr>
        <w:t xml:space="preserve">The Honorable </w:t>
      </w:r>
      <w:r>
        <w:rPr>
          <w:spacing w:val="-3"/>
        </w:rPr>
        <w:t>Jeffrey M. Ramsdell, Judge</w:t>
      </w:r>
    </w:p>
    <w:p w:rsidR="00C779F2" w:rsidRPr="005420CD" w:rsidRDefault="00C779F2" w:rsidP="00230296">
      <w:pPr>
        <w:tabs>
          <w:tab w:val="center" w:pos="3600"/>
        </w:tabs>
        <w:spacing w:line="240" w:lineRule="atLeast"/>
        <w:jc w:val="center"/>
      </w:pPr>
      <w:r>
        <w:rPr>
          <w:spacing w:val="-3"/>
        </w:rPr>
        <w:t>The Honorable Hollis Hill, Judge</w:t>
      </w:r>
    </w:p>
    <w:p w:rsidR="00C779F2" w:rsidRDefault="00C779F2" w:rsidP="00230296">
      <w:r>
        <w:t>____________________________________________________________</w:t>
      </w:r>
    </w:p>
    <w:p w:rsidR="00C779F2" w:rsidRDefault="00C779F2" w:rsidP="00230296">
      <w:r>
        <w:t>____________________________________________________________</w:t>
      </w:r>
    </w:p>
    <w:p w:rsidR="00C779F2" w:rsidRDefault="00C779F2" w:rsidP="00230296"/>
    <w:p w:rsidR="00C779F2" w:rsidRPr="00776766" w:rsidRDefault="00C779F2" w:rsidP="00230296">
      <w:pPr>
        <w:jc w:val="center"/>
        <w:rPr>
          <w:caps/>
          <w:spacing w:val="-3"/>
        </w:rPr>
      </w:pPr>
      <w:r>
        <w:rPr>
          <w:caps/>
          <w:spacing w:val="-3"/>
        </w:rPr>
        <w:t xml:space="preserve">SECOND </w:t>
      </w:r>
      <w:r w:rsidRPr="00776766">
        <w:rPr>
          <w:caps/>
          <w:spacing w:val="-3"/>
        </w:rPr>
        <w:t>SUPPLEMENTAL BRIEF OF PETITIONER</w:t>
      </w:r>
    </w:p>
    <w:p w:rsidR="00C779F2" w:rsidRDefault="00C779F2" w:rsidP="00230296">
      <w:r>
        <w:t>____________________________________________________________</w:t>
      </w:r>
    </w:p>
    <w:p w:rsidR="00C779F2" w:rsidRDefault="00C779F2" w:rsidP="00230296">
      <w:r>
        <w:t>____________________________________________________________</w:t>
      </w:r>
    </w:p>
    <w:p w:rsidR="00C779F2" w:rsidRDefault="00C779F2" w:rsidP="00230296"/>
    <w:p w:rsidR="00C779F2" w:rsidRDefault="00C779F2" w:rsidP="00230296">
      <w:pPr>
        <w:jc w:val="right"/>
      </w:pPr>
      <w:r>
        <w:t>JENNIFER WINKLER</w:t>
      </w:r>
    </w:p>
    <w:p w:rsidR="00C779F2" w:rsidRDefault="00C779F2" w:rsidP="00230296">
      <w:pPr>
        <w:jc w:val="right"/>
      </w:pPr>
      <w:r>
        <w:t>Attorney for Petitioner / Cross-Respondent</w:t>
      </w:r>
    </w:p>
    <w:p w:rsidR="00C779F2" w:rsidRDefault="00C779F2" w:rsidP="00230296">
      <w:pPr>
        <w:jc w:val="right"/>
      </w:pPr>
    </w:p>
    <w:p w:rsidR="00C779F2" w:rsidRDefault="00C779F2" w:rsidP="00230296">
      <w:pPr>
        <w:jc w:val="right"/>
      </w:pPr>
      <w:r>
        <w:t>NIELSEN, BROMAN &amp; KOCH, PLLC</w:t>
      </w:r>
    </w:p>
    <w:p w:rsidR="00C779F2" w:rsidRDefault="00C779F2" w:rsidP="00230296">
      <w:pPr>
        <w:jc w:val="right"/>
      </w:pPr>
      <w:r>
        <w:t>1908 East Madison</w:t>
      </w:r>
    </w:p>
    <w:p w:rsidR="00C779F2" w:rsidRDefault="00C779F2" w:rsidP="00230296">
      <w:pPr>
        <w:jc w:val="right"/>
      </w:pPr>
      <w:r>
        <w:t>Seattle, WA 98122</w:t>
      </w:r>
    </w:p>
    <w:p w:rsidR="00C779F2" w:rsidRDefault="00C779F2" w:rsidP="00230296">
      <w:pPr>
        <w:jc w:val="right"/>
        <w:sectPr w:rsidR="00C779F2" w:rsidSect="00230296">
          <w:footerReference w:type="default" r:id="rId7"/>
          <w:pgSz w:w="12240" w:h="15840"/>
          <w:pgMar w:top="2160" w:right="2160" w:bottom="2160" w:left="2880" w:header="720" w:footer="720" w:gutter="0"/>
          <w:cols w:space="720"/>
          <w:titlePg/>
          <w:docGrid w:linePitch="360"/>
        </w:sectPr>
      </w:pPr>
      <w:r>
        <w:t>(206) 623-2373</w:t>
      </w:r>
    </w:p>
    <w:p w:rsidR="00C779F2" w:rsidRDefault="00C779F2" w:rsidP="00230296">
      <w:pPr>
        <w:jc w:val="center"/>
        <w:rPr>
          <w:b/>
          <w:u w:val="single"/>
        </w:rPr>
      </w:pPr>
      <w:r>
        <w:rPr>
          <w:b/>
          <w:u w:val="single"/>
        </w:rPr>
        <w:lastRenderedPageBreak/>
        <w:t>TABLE OF CONTENTS</w:t>
      </w:r>
    </w:p>
    <w:p w:rsidR="00C779F2" w:rsidRDefault="00C779F2" w:rsidP="00230296">
      <w:pPr>
        <w:jc w:val="right"/>
      </w:pPr>
      <w:r>
        <w:t>Page</w:t>
      </w:r>
    </w:p>
    <w:p w:rsidR="00C779F2" w:rsidRDefault="00C779F2" w:rsidP="00230296"/>
    <w:p w:rsidR="00C779F2" w:rsidRDefault="00C779F2" w:rsidP="00230296">
      <w:pPr>
        <w:pStyle w:val="TOC1"/>
        <w:tabs>
          <w:tab w:val="left" w:pos="720"/>
          <w:tab w:val="left" w:pos="1080"/>
          <w:tab w:val="left" w:pos="1440"/>
          <w:tab w:val="right" w:leader="dot" w:pos="7190"/>
        </w:tabs>
        <w:spacing w:after="0"/>
        <w:rPr>
          <w:noProof/>
        </w:rPr>
      </w:pPr>
      <w:r>
        <w:t>A.</w:t>
      </w:r>
      <w:r>
        <w:tab/>
      </w:r>
      <w:r>
        <w:rPr>
          <w:u w:val="single"/>
        </w:rPr>
        <w:t>ADDITIONAL ISSUE PRESENTED</w:t>
      </w:r>
      <w:r>
        <w:fldChar w:fldCharType="begin"/>
      </w:r>
      <w:r>
        <w:instrText xml:space="preserve"> TOC \f \h \z </w:instrText>
      </w:r>
      <w:r>
        <w:fldChar w:fldCharType="separate"/>
      </w:r>
      <w:hyperlink w:anchor="_Toc521490534" w:history="1">
        <w:r>
          <w:rPr>
            <w:noProof/>
            <w:webHidden/>
          </w:rPr>
          <w:tab/>
        </w:r>
        <w:r>
          <w:rPr>
            <w:noProof/>
            <w:webHidden/>
          </w:rPr>
          <w:fldChar w:fldCharType="begin"/>
        </w:r>
        <w:r>
          <w:rPr>
            <w:noProof/>
            <w:webHidden/>
          </w:rPr>
          <w:instrText xml:space="preserve"> PAGEREF _Toc521490534 \h </w:instrText>
        </w:r>
        <w:r>
          <w:rPr>
            <w:noProof/>
            <w:webHidden/>
          </w:rPr>
        </w:r>
        <w:r>
          <w:rPr>
            <w:noProof/>
            <w:webHidden/>
          </w:rPr>
          <w:fldChar w:fldCharType="separate"/>
        </w:r>
        <w:r>
          <w:rPr>
            <w:noProof/>
            <w:webHidden/>
          </w:rPr>
          <w:t>1</w:t>
        </w:r>
        <w:r>
          <w:rPr>
            <w:noProof/>
            <w:webHidden/>
          </w:rPr>
          <w:fldChar w:fldCharType="end"/>
        </w:r>
      </w:hyperlink>
    </w:p>
    <w:p w:rsidR="00C779F2" w:rsidRDefault="00C779F2" w:rsidP="00230296">
      <w:pPr>
        <w:pStyle w:val="TOC1"/>
        <w:tabs>
          <w:tab w:val="left" w:pos="720"/>
          <w:tab w:val="left" w:pos="1080"/>
          <w:tab w:val="left" w:pos="1440"/>
          <w:tab w:val="right" w:leader="dot" w:pos="7190"/>
        </w:tabs>
        <w:spacing w:after="0"/>
        <w:rPr>
          <w:rStyle w:val="Hyperlink"/>
          <w:noProof/>
        </w:rPr>
      </w:pPr>
    </w:p>
    <w:p w:rsidR="00C779F2" w:rsidRPr="00230296" w:rsidRDefault="00C779F2" w:rsidP="00230296">
      <w:pPr>
        <w:pStyle w:val="TOC1"/>
        <w:tabs>
          <w:tab w:val="left" w:pos="720"/>
          <w:tab w:val="left" w:pos="1080"/>
          <w:tab w:val="left" w:pos="1440"/>
          <w:tab w:val="right" w:leader="dot" w:pos="7190"/>
        </w:tabs>
        <w:spacing w:after="0"/>
        <w:rPr>
          <w:noProof/>
        </w:rPr>
      </w:pPr>
      <w:r w:rsidRPr="00230296">
        <w:rPr>
          <w:rStyle w:val="Hyperlink"/>
          <w:noProof/>
          <w:color w:val="auto"/>
          <w:u w:val="none"/>
        </w:rPr>
        <w:t>B.</w:t>
      </w:r>
      <w:r w:rsidRPr="00230296">
        <w:rPr>
          <w:rStyle w:val="Hyperlink"/>
          <w:noProof/>
          <w:color w:val="auto"/>
          <w:u w:val="none"/>
        </w:rPr>
        <w:tab/>
      </w:r>
      <w:r w:rsidRPr="00230296">
        <w:rPr>
          <w:rStyle w:val="Hyperlink"/>
          <w:noProof/>
          <w:color w:val="auto"/>
        </w:rPr>
        <w:t>ADDITIONAL FACTS</w:t>
      </w:r>
      <w:hyperlink w:anchor="_Toc521490535" w:history="1">
        <w:r w:rsidRPr="00230296">
          <w:rPr>
            <w:noProof/>
            <w:webHidden/>
          </w:rPr>
          <w:tab/>
        </w:r>
        <w:r w:rsidRPr="00230296">
          <w:rPr>
            <w:noProof/>
            <w:webHidden/>
          </w:rPr>
          <w:fldChar w:fldCharType="begin"/>
        </w:r>
        <w:r w:rsidRPr="00230296">
          <w:rPr>
            <w:noProof/>
            <w:webHidden/>
          </w:rPr>
          <w:instrText xml:space="preserve"> PAGEREF _Toc521490535 \h </w:instrText>
        </w:r>
        <w:r w:rsidRPr="00230296">
          <w:rPr>
            <w:noProof/>
            <w:webHidden/>
          </w:rPr>
        </w:r>
        <w:r w:rsidRPr="00230296">
          <w:rPr>
            <w:noProof/>
            <w:webHidden/>
          </w:rPr>
          <w:fldChar w:fldCharType="separate"/>
        </w:r>
        <w:r>
          <w:rPr>
            <w:noProof/>
            <w:webHidden/>
          </w:rPr>
          <w:t>1</w:t>
        </w:r>
        <w:r w:rsidRPr="00230296">
          <w:rPr>
            <w:noProof/>
            <w:webHidden/>
          </w:rPr>
          <w:fldChar w:fldCharType="end"/>
        </w:r>
      </w:hyperlink>
    </w:p>
    <w:p w:rsidR="00C779F2" w:rsidRPr="00230296" w:rsidRDefault="00C779F2" w:rsidP="00230296">
      <w:pPr>
        <w:pStyle w:val="TOC1"/>
        <w:tabs>
          <w:tab w:val="left" w:pos="720"/>
          <w:tab w:val="left" w:pos="1080"/>
          <w:tab w:val="left" w:pos="1440"/>
          <w:tab w:val="right" w:leader="dot" w:pos="7190"/>
        </w:tabs>
        <w:spacing w:after="0"/>
        <w:rPr>
          <w:rStyle w:val="Hyperlink"/>
          <w:noProof/>
          <w:color w:val="auto"/>
        </w:rPr>
      </w:pPr>
    </w:p>
    <w:p w:rsidR="00C779F2" w:rsidRPr="00230296" w:rsidRDefault="00C779F2" w:rsidP="00230296">
      <w:pPr>
        <w:pStyle w:val="TOC1"/>
        <w:tabs>
          <w:tab w:val="left" w:pos="720"/>
          <w:tab w:val="left" w:pos="1080"/>
          <w:tab w:val="left" w:pos="1440"/>
          <w:tab w:val="right" w:leader="dot" w:pos="7190"/>
        </w:tabs>
        <w:spacing w:after="0"/>
        <w:rPr>
          <w:noProof/>
        </w:rPr>
      </w:pPr>
      <w:r w:rsidRPr="00230296">
        <w:rPr>
          <w:rStyle w:val="Hyperlink"/>
          <w:noProof/>
          <w:color w:val="auto"/>
          <w:u w:val="none"/>
        </w:rPr>
        <w:t>C.</w:t>
      </w:r>
      <w:r w:rsidRPr="00230296">
        <w:rPr>
          <w:rStyle w:val="Hyperlink"/>
          <w:noProof/>
          <w:color w:val="auto"/>
          <w:u w:val="none"/>
        </w:rPr>
        <w:tab/>
      </w:r>
      <w:r w:rsidRPr="00230296">
        <w:rPr>
          <w:rStyle w:val="Hyperlink"/>
          <w:noProof/>
          <w:color w:val="auto"/>
        </w:rPr>
        <w:t>ADDITIONAL ARGUMENT</w:t>
      </w:r>
      <w:hyperlink w:anchor="_Toc521490536" w:history="1">
        <w:r w:rsidRPr="00230296">
          <w:rPr>
            <w:noProof/>
            <w:webHidden/>
          </w:rPr>
          <w:tab/>
        </w:r>
        <w:r w:rsidRPr="00230296">
          <w:rPr>
            <w:noProof/>
            <w:webHidden/>
          </w:rPr>
          <w:fldChar w:fldCharType="begin"/>
        </w:r>
        <w:r w:rsidRPr="00230296">
          <w:rPr>
            <w:noProof/>
            <w:webHidden/>
          </w:rPr>
          <w:instrText xml:space="preserve"> PAGEREF _Toc521490536 \h </w:instrText>
        </w:r>
        <w:r w:rsidRPr="00230296">
          <w:rPr>
            <w:noProof/>
            <w:webHidden/>
          </w:rPr>
        </w:r>
        <w:r w:rsidRPr="00230296">
          <w:rPr>
            <w:noProof/>
            <w:webHidden/>
          </w:rPr>
          <w:fldChar w:fldCharType="separate"/>
        </w:r>
        <w:r>
          <w:rPr>
            <w:noProof/>
            <w:webHidden/>
          </w:rPr>
          <w:t>2</w:t>
        </w:r>
        <w:r w:rsidRPr="00230296">
          <w:rPr>
            <w:noProof/>
            <w:webHidden/>
          </w:rPr>
          <w:fldChar w:fldCharType="end"/>
        </w:r>
      </w:hyperlink>
    </w:p>
    <w:p w:rsidR="00C779F2" w:rsidRPr="00230296" w:rsidRDefault="00C779F2" w:rsidP="00230296">
      <w:pPr>
        <w:pStyle w:val="TOC2"/>
        <w:tabs>
          <w:tab w:val="left" w:pos="720"/>
          <w:tab w:val="left" w:pos="1080"/>
          <w:tab w:val="left" w:pos="1440"/>
          <w:tab w:val="right" w:leader="dot" w:pos="7190"/>
        </w:tabs>
        <w:spacing w:after="0"/>
        <w:ind w:left="0"/>
        <w:rPr>
          <w:rStyle w:val="Hyperlink"/>
          <w:noProof/>
          <w:color w:val="auto"/>
        </w:rPr>
      </w:pPr>
    </w:p>
    <w:p w:rsidR="00C779F2" w:rsidRPr="00230296" w:rsidRDefault="00C779F2" w:rsidP="00230296">
      <w:pPr>
        <w:pStyle w:val="TOC2"/>
        <w:tabs>
          <w:tab w:val="left" w:pos="720"/>
          <w:tab w:val="left" w:pos="1080"/>
          <w:tab w:val="left" w:pos="1440"/>
          <w:tab w:val="right" w:leader="dot" w:pos="7190"/>
        </w:tabs>
        <w:spacing w:after="0"/>
        <w:ind w:left="0"/>
        <w:rPr>
          <w:rStyle w:val="Hyperlink"/>
          <w:caps/>
          <w:noProof/>
          <w:color w:val="auto"/>
        </w:rPr>
      </w:pPr>
      <w:r w:rsidRPr="00230296">
        <w:rPr>
          <w:rStyle w:val="Hyperlink"/>
          <w:noProof/>
          <w:color w:val="auto"/>
          <w:u w:val="none"/>
        </w:rPr>
        <w:tab/>
        <w:t>1.</w:t>
      </w:r>
      <w:r w:rsidRPr="00230296">
        <w:rPr>
          <w:rStyle w:val="Hyperlink"/>
          <w:noProof/>
          <w:color w:val="auto"/>
          <w:u w:val="none"/>
        </w:rPr>
        <w:tab/>
      </w:r>
      <w:r w:rsidRPr="00230296">
        <w:rPr>
          <w:rStyle w:val="Hyperlink"/>
          <w:noProof/>
          <w:color w:val="auto"/>
        </w:rPr>
        <w:fldChar w:fldCharType="begin"/>
      </w:r>
      <w:r w:rsidRPr="00230296">
        <w:rPr>
          <w:rStyle w:val="Hyperlink"/>
          <w:noProof/>
          <w:color w:val="auto"/>
        </w:rPr>
        <w:instrText xml:space="preserve"> </w:instrText>
      </w:r>
      <w:r w:rsidRPr="00230296">
        <w:rPr>
          <w:noProof/>
        </w:rPr>
        <w:instrText>HYPERLINK \l "_Toc521490537"</w:instrText>
      </w:r>
      <w:r w:rsidRPr="00230296">
        <w:rPr>
          <w:rStyle w:val="Hyperlink"/>
          <w:noProof/>
          <w:color w:val="auto"/>
        </w:rPr>
        <w:instrText xml:space="preserve"> </w:instrText>
      </w:r>
      <w:r w:rsidRPr="00230296">
        <w:rPr>
          <w:rStyle w:val="Hyperlink"/>
          <w:noProof/>
          <w:color w:val="auto"/>
        </w:rPr>
        <w:fldChar w:fldCharType="separate"/>
      </w:r>
      <w:r w:rsidRPr="00230296">
        <w:rPr>
          <w:rStyle w:val="Hyperlink"/>
          <w:caps/>
          <w:noProof/>
          <w:color w:val="auto"/>
        </w:rPr>
        <w:t xml:space="preserve">the entry of the verdicts terminated </w:t>
      </w:r>
    </w:p>
    <w:p w:rsidR="00C779F2" w:rsidRPr="00230296" w:rsidRDefault="00C779F2" w:rsidP="00230296">
      <w:pPr>
        <w:pStyle w:val="TOC2"/>
        <w:tabs>
          <w:tab w:val="left" w:pos="720"/>
          <w:tab w:val="left" w:pos="1080"/>
          <w:tab w:val="left" w:pos="1440"/>
          <w:tab w:val="right" w:leader="dot" w:pos="7190"/>
        </w:tabs>
        <w:spacing w:after="0"/>
        <w:ind w:left="0"/>
        <w:rPr>
          <w:noProof/>
        </w:rPr>
      </w:pPr>
      <w:r w:rsidRPr="00230296">
        <w:rPr>
          <w:rStyle w:val="Hyperlink"/>
          <w:caps/>
          <w:noProof/>
          <w:color w:val="auto"/>
          <w:u w:val="none"/>
        </w:rPr>
        <w:tab/>
      </w:r>
      <w:r w:rsidRPr="00230296">
        <w:rPr>
          <w:rStyle w:val="Hyperlink"/>
          <w:caps/>
          <w:noProof/>
          <w:color w:val="auto"/>
          <w:u w:val="none"/>
        </w:rPr>
        <w:tab/>
      </w:r>
      <w:r w:rsidRPr="00230296">
        <w:rPr>
          <w:rStyle w:val="Hyperlink"/>
          <w:caps/>
          <w:noProof/>
          <w:color w:val="auto"/>
        </w:rPr>
        <w:t>jeopardy.</w:t>
      </w:r>
      <w:r w:rsidRPr="00230296">
        <w:rPr>
          <w:noProof/>
          <w:webHidden/>
        </w:rPr>
        <w:tab/>
      </w:r>
      <w:r w:rsidRPr="00230296">
        <w:rPr>
          <w:noProof/>
          <w:webHidden/>
        </w:rPr>
        <w:fldChar w:fldCharType="begin"/>
      </w:r>
      <w:r w:rsidRPr="00230296">
        <w:rPr>
          <w:noProof/>
          <w:webHidden/>
        </w:rPr>
        <w:instrText xml:space="preserve"> PAGEREF _Toc521490537 \h </w:instrText>
      </w:r>
      <w:r w:rsidRPr="00230296">
        <w:rPr>
          <w:noProof/>
          <w:webHidden/>
        </w:rPr>
      </w:r>
      <w:r w:rsidRPr="00230296">
        <w:rPr>
          <w:noProof/>
          <w:webHidden/>
        </w:rPr>
        <w:fldChar w:fldCharType="separate"/>
      </w:r>
      <w:r>
        <w:rPr>
          <w:noProof/>
          <w:webHidden/>
        </w:rPr>
        <w:t>2</w:t>
      </w:r>
      <w:r w:rsidRPr="00230296">
        <w:rPr>
          <w:noProof/>
          <w:webHidden/>
        </w:rPr>
        <w:fldChar w:fldCharType="end"/>
      </w:r>
      <w:r w:rsidRPr="00230296">
        <w:rPr>
          <w:rStyle w:val="Hyperlink"/>
          <w:noProof/>
          <w:color w:val="auto"/>
        </w:rPr>
        <w:fldChar w:fldCharType="end"/>
      </w:r>
    </w:p>
    <w:p w:rsidR="00C779F2" w:rsidRPr="00230296" w:rsidRDefault="00C779F2" w:rsidP="00230296">
      <w:pPr>
        <w:pStyle w:val="TOC2"/>
        <w:tabs>
          <w:tab w:val="left" w:pos="720"/>
          <w:tab w:val="left" w:pos="1080"/>
          <w:tab w:val="left" w:pos="1440"/>
          <w:tab w:val="right" w:leader="dot" w:pos="7190"/>
        </w:tabs>
        <w:spacing w:after="0"/>
        <w:ind w:left="0"/>
        <w:rPr>
          <w:rStyle w:val="Hyperlink"/>
          <w:noProof/>
          <w:color w:val="auto"/>
        </w:rPr>
      </w:pPr>
    </w:p>
    <w:p w:rsidR="00C779F2" w:rsidRPr="00230296" w:rsidRDefault="00C779F2" w:rsidP="00230296">
      <w:pPr>
        <w:pStyle w:val="TOC2"/>
        <w:tabs>
          <w:tab w:val="left" w:pos="720"/>
          <w:tab w:val="left" w:pos="1080"/>
          <w:tab w:val="left" w:pos="1440"/>
          <w:tab w:val="right" w:leader="dot" w:pos="7190"/>
        </w:tabs>
        <w:spacing w:after="0"/>
        <w:ind w:left="0"/>
        <w:rPr>
          <w:rStyle w:val="Hyperlink"/>
          <w:caps/>
          <w:noProof/>
          <w:color w:val="auto"/>
        </w:rPr>
      </w:pPr>
      <w:r w:rsidRPr="00230296">
        <w:rPr>
          <w:rStyle w:val="Hyperlink"/>
          <w:noProof/>
          <w:color w:val="auto"/>
          <w:u w:val="none"/>
        </w:rPr>
        <w:tab/>
        <w:t>2.</w:t>
      </w:r>
      <w:r w:rsidRPr="00230296">
        <w:rPr>
          <w:rStyle w:val="Hyperlink"/>
          <w:noProof/>
          <w:color w:val="auto"/>
          <w:u w:val="none"/>
        </w:rPr>
        <w:tab/>
      </w:r>
      <w:r w:rsidRPr="00230296">
        <w:rPr>
          <w:rStyle w:val="Hyperlink"/>
          <w:noProof/>
          <w:color w:val="auto"/>
        </w:rPr>
        <w:fldChar w:fldCharType="begin"/>
      </w:r>
      <w:r w:rsidRPr="00230296">
        <w:rPr>
          <w:rStyle w:val="Hyperlink"/>
          <w:noProof/>
          <w:color w:val="auto"/>
        </w:rPr>
        <w:instrText xml:space="preserve"> </w:instrText>
      </w:r>
      <w:r w:rsidRPr="00230296">
        <w:rPr>
          <w:noProof/>
        </w:rPr>
        <w:instrText>HYPERLINK \l "_Toc521490538"</w:instrText>
      </w:r>
      <w:r w:rsidRPr="00230296">
        <w:rPr>
          <w:rStyle w:val="Hyperlink"/>
          <w:noProof/>
          <w:color w:val="auto"/>
        </w:rPr>
        <w:instrText xml:space="preserve"> </w:instrText>
      </w:r>
      <w:r w:rsidRPr="00230296">
        <w:rPr>
          <w:rStyle w:val="Hyperlink"/>
          <w:noProof/>
          <w:color w:val="auto"/>
        </w:rPr>
        <w:fldChar w:fldCharType="separate"/>
      </w:r>
      <w:r w:rsidRPr="00230296">
        <w:rPr>
          <w:rStyle w:val="Hyperlink"/>
          <w:caps/>
          <w:noProof/>
          <w:color w:val="auto"/>
        </w:rPr>
        <w:t xml:space="preserve">correspondingly, DOUBLE JEOPARDY </w:t>
      </w:r>
    </w:p>
    <w:p w:rsidR="00C779F2" w:rsidRPr="00230296" w:rsidRDefault="00C779F2" w:rsidP="00230296">
      <w:pPr>
        <w:pStyle w:val="TOC2"/>
        <w:tabs>
          <w:tab w:val="left" w:pos="720"/>
          <w:tab w:val="left" w:pos="1080"/>
          <w:tab w:val="left" w:pos="1440"/>
          <w:tab w:val="right" w:leader="dot" w:pos="7190"/>
        </w:tabs>
        <w:spacing w:after="0"/>
        <w:ind w:left="0"/>
        <w:rPr>
          <w:rStyle w:val="Hyperlink"/>
          <w:caps/>
          <w:noProof/>
          <w:color w:val="auto"/>
        </w:rPr>
      </w:pPr>
      <w:r w:rsidRPr="00230296">
        <w:rPr>
          <w:rStyle w:val="Hyperlink"/>
          <w:caps/>
          <w:noProof/>
          <w:color w:val="auto"/>
          <w:u w:val="none"/>
        </w:rPr>
        <w:tab/>
      </w:r>
      <w:r w:rsidRPr="00230296">
        <w:rPr>
          <w:rStyle w:val="Hyperlink"/>
          <w:caps/>
          <w:noProof/>
          <w:color w:val="auto"/>
          <w:u w:val="none"/>
        </w:rPr>
        <w:tab/>
      </w:r>
      <w:r w:rsidRPr="00230296">
        <w:rPr>
          <w:rStyle w:val="Hyperlink"/>
          <w:caps/>
          <w:noProof/>
          <w:color w:val="auto"/>
        </w:rPr>
        <w:t xml:space="preserve">PRINCIPLES precluded RETRIAL ON THE FIREARM </w:t>
      </w:r>
    </w:p>
    <w:p w:rsidR="00C779F2" w:rsidRPr="00230296" w:rsidRDefault="00C779F2" w:rsidP="00230296">
      <w:pPr>
        <w:pStyle w:val="TOC2"/>
        <w:tabs>
          <w:tab w:val="left" w:pos="720"/>
          <w:tab w:val="left" w:pos="1080"/>
          <w:tab w:val="left" w:pos="1440"/>
          <w:tab w:val="right" w:leader="dot" w:pos="7190"/>
        </w:tabs>
        <w:spacing w:after="0"/>
        <w:ind w:left="0"/>
        <w:rPr>
          <w:noProof/>
        </w:rPr>
      </w:pPr>
      <w:r w:rsidRPr="00230296">
        <w:rPr>
          <w:rStyle w:val="Hyperlink"/>
          <w:caps/>
          <w:noProof/>
          <w:color w:val="auto"/>
          <w:u w:val="none"/>
        </w:rPr>
        <w:tab/>
      </w:r>
      <w:r w:rsidRPr="00230296">
        <w:rPr>
          <w:rStyle w:val="Hyperlink"/>
          <w:caps/>
          <w:noProof/>
          <w:color w:val="auto"/>
          <w:u w:val="none"/>
        </w:rPr>
        <w:tab/>
      </w:r>
      <w:r w:rsidRPr="00230296">
        <w:rPr>
          <w:rStyle w:val="Hyperlink"/>
          <w:caps/>
          <w:noProof/>
          <w:color w:val="auto"/>
        </w:rPr>
        <w:t>ALLEGATION.</w:t>
      </w:r>
      <w:r w:rsidRPr="00230296">
        <w:rPr>
          <w:noProof/>
          <w:webHidden/>
        </w:rPr>
        <w:tab/>
      </w:r>
      <w:r w:rsidRPr="00230296">
        <w:rPr>
          <w:noProof/>
          <w:webHidden/>
        </w:rPr>
        <w:fldChar w:fldCharType="begin"/>
      </w:r>
      <w:r w:rsidRPr="00230296">
        <w:rPr>
          <w:noProof/>
          <w:webHidden/>
        </w:rPr>
        <w:instrText xml:space="preserve"> PAGEREF _Toc521490538 \h </w:instrText>
      </w:r>
      <w:r w:rsidRPr="00230296">
        <w:rPr>
          <w:noProof/>
          <w:webHidden/>
        </w:rPr>
      </w:r>
      <w:r w:rsidRPr="00230296">
        <w:rPr>
          <w:noProof/>
          <w:webHidden/>
        </w:rPr>
        <w:fldChar w:fldCharType="separate"/>
      </w:r>
      <w:r>
        <w:rPr>
          <w:noProof/>
          <w:webHidden/>
        </w:rPr>
        <w:t>8</w:t>
      </w:r>
      <w:r w:rsidRPr="00230296">
        <w:rPr>
          <w:noProof/>
          <w:webHidden/>
        </w:rPr>
        <w:fldChar w:fldCharType="end"/>
      </w:r>
      <w:r w:rsidRPr="00230296">
        <w:rPr>
          <w:rStyle w:val="Hyperlink"/>
          <w:noProof/>
          <w:color w:val="auto"/>
        </w:rPr>
        <w:fldChar w:fldCharType="end"/>
      </w:r>
    </w:p>
    <w:p w:rsidR="00C779F2" w:rsidRPr="00230296" w:rsidRDefault="00C779F2" w:rsidP="00230296">
      <w:pPr>
        <w:pStyle w:val="TOC1"/>
        <w:tabs>
          <w:tab w:val="left" w:pos="720"/>
          <w:tab w:val="left" w:pos="1080"/>
          <w:tab w:val="left" w:pos="1440"/>
          <w:tab w:val="right" w:leader="dot" w:pos="7190"/>
        </w:tabs>
        <w:spacing w:after="0"/>
        <w:rPr>
          <w:rStyle w:val="Hyperlink"/>
          <w:noProof/>
          <w:color w:val="auto"/>
        </w:rPr>
      </w:pPr>
    </w:p>
    <w:p w:rsidR="00C779F2" w:rsidRPr="00230296" w:rsidRDefault="00C779F2" w:rsidP="00230296">
      <w:pPr>
        <w:pStyle w:val="TOC1"/>
        <w:tabs>
          <w:tab w:val="left" w:pos="720"/>
          <w:tab w:val="left" w:pos="1080"/>
          <w:tab w:val="left" w:pos="1440"/>
          <w:tab w:val="right" w:leader="dot" w:pos="7190"/>
        </w:tabs>
        <w:spacing w:after="0"/>
        <w:rPr>
          <w:noProof/>
        </w:rPr>
      </w:pPr>
      <w:r w:rsidRPr="00230296">
        <w:rPr>
          <w:rStyle w:val="Hyperlink"/>
          <w:noProof/>
          <w:color w:val="auto"/>
          <w:u w:val="none"/>
        </w:rPr>
        <w:t>D.</w:t>
      </w:r>
      <w:r w:rsidRPr="00230296">
        <w:rPr>
          <w:rStyle w:val="Hyperlink"/>
          <w:noProof/>
          <w:color w:val="auto"/>
          <w:u w:val="none"/>
        </w:rPr>
        <w:tab/>
      </w:r>
      <w:r w:rsidRPr="00230296">
        <w:rPr>
          <w:rStyle w:val="Hyperlink"/>
          <w:noProof/>
          <w:color w:val="auto"/>
        </w:rPr>
        <w:t>CONCLUSION</w:t>
      </w:r>
      <w:hyperlink w:anchor="_Toc521490539" w:history="1">
        <w:r w:rsidRPr="00230296">
          <w:rPr>
            <w:noProof/>
            <w:webHidden/>
          </w:rPr>
          <w:tab/>
        </w:r>
        <w:r w:rsidRPr="00230296">
          <w:rPr>
            <w:noProof/>
            <w:webHidden/>
          </w:rPr>
          <w:fldChar w:fldCharType="begin"/>
        </w:r>
        <w:r w:rsidRPr="00230296">
          <w:rPr>
            <w:noProof/>
            <w:webHidden/>
          </w:rPr>
          <w:instrText xml:space="preserve"> PAGEREF _Toc521490539 \h </w:instrText>
        </w:r>
        <w:r w:rsidRPr="00230296">
          <w:rPr>
            <w:noProof/>
            <w:webHidden/>
          </w:rPr>
        </w:r>
        <w:r w:rsidRPr="00230296">
          <w:rPr>
            <w:noProof/>
            <w:webHidden/>
          </w:rPr>
          <w:fldChar w:fldCharType="separate"/>
        </w:r>
        <w:r>
          <w:rPr>
            <w:noProof/>
            <w:webHidden/>
          </w:rPr>
          <w:t>12</w:t>
        </w:r>
        <w:r w:rsidRPr="00230296">
          <w:rPr>
            <w:noProof/>
            <w:webHidden/>
          </w:rPr>
          <w:fldChar w:fldCharType="end"/>
        </w:r>
      </w:hyperlink>
    </w:p>
    <w:p w:rsidR="00C779F2" w:rsidRDefault="00C779F2" w:rsidP="00230296">
      <w:pPr>
        <w:tabs>
          <w:tab w:val="left" w:pos="720"/>
          <w:tab w:val="left" w:pos="1080"/>
          <w:tab w:val="left" w:pos="1440"/>
        </w:tabs>
      </w:pPr>
      <w:r>
        <w:fldChar w:fldCharType="end"/>
      </w:r>
    </w:p>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 w:rsidR="00C779F2" w:rsidRDefault="00C779F2" w:rsidP="00230296">
      <w:pPr>
        <w:jc w:val="center"/>
        <w:rPr>
          <w:b/>
          <w:u w:val="single"/>
        </w:rPr>
      </w:pPr>
      <w:r>
        <w:rPr>
          <w:b/>
          <w:u w:val="single"/>
        </w:rPr>
        <w:lastRenderedPageBreak/>
        <w:t>TABLE OF AUTHORITIES</w:t>
      </w:r>
    </w:p>
    <w:p w:rsidR="00C779F2" w:rsidRDefault="00C779F2" w:rsidP="00230296">
      <w:pPr>
        <w:jc w:val="right"/>
      </w:pPr>
      <w:r>
        <w:t>Page</w:t>
      </w:r>
    </w:p>
    <w:p w:rsidR="00C779F2" w:rsidRPr="00230296" w:rsidRDefault="00C779F2">
      <w:pPr>
        <w:pStyle w:val="TOAHeading"/>
        <w:tabs>
          <w:tab w:val="right" w:leader="dot" w:pos="7190"/>
        </w:tabs>
        <w:rPr>
          <w:rFonts w:ascii="Times New Roman" w:hAnsi="Times New Roman"/>
          <w:b w:val="0"/>
          <w:bCs w:val="0"/>
          <w:noProof/>
          <w:sz w:val="22"/>
          <w:szCs w:val="22"/>
        </w:rPr>
      </w:pPr>
      <w:r>
        <w:rPr>
          <w:rFonts w:ascii="Times New Roman" w:hAnsi="Times New Roman"/>
          <w:b w:val="0"/>
          <w:u w:val="single"/>
        </w:rPr>
        <w:t>WASHINGTON CASES</w:t>
      </w:r>
      <w:r w:rsidRPr="00230296">
        <w:rPr>
          <w:rFonts w:ascii="Times New Roman" w:hAnsi="Times New Roman"/>
        </w:rPr>
        <w:fldChar w:fldCharType="begin"/>
      </w:r>
      <w:r w:rsidRPr="00230296">
        <w:rPr>
          <w:rFonts w:ascii="Times New Roman" w:hAnsi="Times New Roman"/>
        </w:rPr>
        <w:instrText xml:space="preserve"> TOA \h \c "1" </w:instrText>
      </w:r>
      <w:r w:rsidRPr="00230296">
        <w:rPr>
          <w:rFonts w:ascii="Times New Roman" w:hAnsi="Times New Roman"/>
        </w:rPr>
        <w:fldChar w:fldCharType="separate"/>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In re Rights to Waters of Stranger Creek</w:t>
      </w:r>
    </w:p>
    <w:p w:rsidR="00C779F2" w:rsidRPr="00230296" w:rsidRDefault="00C779F2">
      <w:pPr>
        <w:pStyle w:val="TableofAuthorities"/>
        <w:tabs>
          <w:tab w:val="right" w:leader="dot" w:pos="7190"/>
        </w:tabs>
        <w:rPr>
          <w:noProof/>
        </w:rPr>
      </w:pPr>
      <w:r w:rsidRPr="00230296">
        <w:rPr>
          <w:noProof/>
        </w:rPr>
        <w:t>77 Wn.2d 649, 466 P.2d 508 (1970)</w:t>
      </w:r>
      <w:r w:rsidRPr="00230296">
        <w:rPr>
          <w:noProof/>
        </w:rPr>
        <w:tab/>
        <w:t>10</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Aguirre</w:t>
      </w:r>
    </w:p>
    <w:p w:rsidR="00C779F2" w:rsidRPr="00230296" w:rsidRDefault="00C779F2">
      <w:pPr>
        <w:pStyle w:val="TableofAuthorities"/>
        <w:tabs>
          <w:tab w:val="right" w:leader="dot" w:pos="7190"/>
        </w:tabs>
        <w:rPr>
          <w:noProof/>
        </w:rPr>
      </w:pPr>
      <w:r>
        <w:rPr>
          <w:noProof/>
        </w:rPr>
        <w:t>168 Wn.2d 350,</w:t>
      </w:r>
      <w:r w:rsidRPr="00230296">
        <w:rPr>
          <w:noProof/>
        </w:rPr>
        <w:t xml:space="preserve"> 229 P.3d 669 (2010)</w:t>
      </w:r>
      <w:r w:rsidRPr="00230296">
        <w:rPr>
          <w:noProof/>
        </w:rPr>
        <w:tab/>
        <w:t>10</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Daniels</w:t>
      </w:r>
    </w:p>
    <w:p w:rsidR="00C779F2" w:rsidRPr="00230296" w:rsidRDefault="00C779F2">
      <w:pPr>
        <w:pStyle w:val="TableofAuthorities"/>
        <w:tabs>
          <w:tab w:val="right" w:leader="dot" w:pos="7190"/>
        </w:tabs>
        <w:rPr>
          <w:noProof/>
        </w:rPr>
      </w:pPr>
      <w:r w:rsidRPr="00230296">
        <w:rPr>
          <w:noProof/>
        </w:rPr>
        <w:t>160 W.2d 256, 156 P.3d 905 (2007) (</w:t>
      </w:r>
      <w:r w:rsidRPr="00230296">
        <w:rPr>
          <w:noProof/>
          <w:u w:val="single"/>
        </w:rPr>
        <w:t>Daniels I</w:t>
      </w:r>
      <w:r w:rsidRPr="00230296">
        <w:rPr>
          <w:noProof/>
        </w:rPr>
        <w:t xml:space="preserve"> )</w:t>
      </w:r>
      <w:r w:rsidRPr="00230296">
        <w:rPr>
          <w:noProof/>
        </w:rPr>
        <w:tab/>
        <w:t>7</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Daniels</w:t>
      </w:r>
    </w:p>
    <w:p w:rsidR="00C779F2" w:rsidRPr="00230296" w:rsidRDefault="00C779F2">
      <w:pPr>
        <w:pStyle w:val="TableofAuthorities"/>
        <w:tabs>
          <w:tab w:val="right" w:leader="dot" w:pos="7190"/>
        </w:tabs>
        <w:rPr>
          <w:noProof/>
        </w:rPr>
      </w:pPr>
      <w:r w:rsidRPr="00230296">
        <w:rPr>
          <w:noProof/>
        </w:rPr>
        <w:t>165 Wn.2d 627, 200 P.3d 711 (2009) (</w:t>
      </w:r>
      <w:r w:rsidRPr="00230296">
        <w:rPr>
          <w:noProof/>
          <w:u w:val="single"/>
        </w:rPr>
        <w:t>Daniels II</w:t>
      </w:r>
      <w:r w:rsidRPr="00230296">
        <w:rPr>
          <w:noProof/>
        </w:rPr>
        <w:t xml:space="preserve"> )</w:t>
      </w:r>
      <w:r w:rsidRPr="00230296">
        <w:rPr>
          <w:noProof/>
        </w:rPr>
        <w:tab/>
        <w:t>7</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Ervin</w:t>
      </w:r>
    </w:p>
    <w:p w:rsidR="00C779F2" w:rsidRDefault="00C779F2">
      <w:pPr>
        <w:pStyle w:val="TableofAuthorities"/>
        <w:tabs>
          <w:tab w:val="right" w:leader="dot" w:pos="7190"/>
        </w:tabs>
        <w:rPr>
          <w:noProof/>
        </w:rPr>
      </w:pPr>
      <w:r>
        <w:rPr>
          <w:noProof/>
        </w:rPr>
        <w:t>158 Wn.2d 746,</w:t>
      </w:r>
      <w:r w:rsidRPr="00230296">
        <w:rPr>
          <w:noProof/>
        </w:rPr>
        <w:t xml:space="preserve"> 147 P.3d 567 (2006)</w:t>
      </w:r>
      <w:r w:rsidRPr="00230296">
        <w:rPr>
          <w:noProof/>
        </w:rPr>
        <w:tab/>
        <w:t>3</w:t>
      </w:r>
    </w:p>
    <w:p w:rsidR="00C779F2" w:rsidRPr="00230296" w:rsidRDefault="00C779F2" w:rsidP="00230296"/>
    <w:p w:rsidR="00C779F2" w:rsidRDefault="00C779F2">
      <w:pPr>
        <w:pStyle w:val="TableofAuthorities"/>
        <w:tabs>
          <w:tab w:val="right" w:leader="dot" w:pos="7190"/>
        </w:tabs>
        <w:rPr>
          <w:noProof/>
          <w:u w:val="single"/>
        </w:rPr>
      </w:pPr>
      <w:r w:rsidRPr="00230296">
        <w:rPr>
          <w:noProof/>
          <w:u w:val="single"/>
        </w:rPr>
        <w:t>State v. Glasmann</w:t>
      </w:r>
    </w:p>
    <w:p w:rsidR="00C779F2" w:rsidRPr="00230296" w:rsidRDefault="00C779F2">
      <w:pPr>
        <w:pStyle w:val="TableofAuthorities"/>
        <w:tabs>
          <w:tab w:val="right" w:leader="dot" w:pos="7190"/>
        </w:tabs>
        <w:rPr>
          <w:noProof/>
        </w:rPr>
      </w:pPr>
      <w:r w:rsidRPr="00230296">
        <w:rPr>
          <w:noProof/>
        </w:rPr>
        <w:t>183 Wn.2d 117, 349 P.3d 829 (2015)</w:t>
      </w:r>
      <w:r w:rsidRPr="00230296">
        <w:rPr>
          <w:noProof/>
        </w:rPr>
        <w:tab/>
        <w:t>3, 7</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Kelley</w:t>
      </w:r>
    </w:p>
    <w:p w:rsidR="00C779F2" w:rsidRPr="00230296" w:rsidRDefault="00C779F2">
      <w:pPr>
        <w:pStyle w:val="TableofAuthorities"/>
        <w:tabs>
          <w:tab w:val="right" w:leader="dot" w:pos="7190"/>
        </w:tabs>
        <w:rPr>
          <w:noProof/>
        </w:rPr>
      </w:pPr>
      <w:r w:rsidRPr="00230296">
        <w:rPr>
          <w:noProof/>
        </w:rPr>
        <w:t>168 Wn.2d 72, 226 P.3d 773 (2010)</w:t>
      </w:r>
      <w:r w:rsidRPr="00230296">
        <w:rPr>
          <w:noProof/>
        </w:rPr>
        <w:tab/>
        <w:t>10</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Labanowski</w:t>
      </w:r>
    </w:p>
    <w:p w:rsidR="00C779F2" w:rsidRPr="00230296" w:rsidRDefault="00C779F2">
      <w:pPr>
        <w:pStyle w:val="TableofAuthorities"/>
        <w:tabs>
          <w:tab w:val="right" w:leader="dot" w:pos="7190"/>
        </w:tabs>
        <w:rPr>
          <w:noProof/>
        </w:rPr>
      </w:pPr>
      <w:r w:rsidRPr="00230296">
        <w:rPr>
          <w:noProof/>
        </w:rPr>
        <w:t>117 Wn.2d 405, 816 P.2d 26 (1991)</w:t>
      </w:r>
      <w:r w:rsidRPr="00230296">
        <w:rPr>
          <w:noProof/>
        </w:rPr>
        <w:tab/>
        <w:t>11</w:t>
      </w:r>
    </w:p>
    <w:p w:rsidR="00C779F2" w:rsidRDefault="00C779F2">
      <w:pPr>
        <w:pStyle w:val="TableofAuthorities"/>
        <w:tabs>
          <w:tab w:val="right" w:leader="dot" w:pos="7190"/>
        </w:tabs>
        <w:rPr>
          <w:noProof/>
          <w:u w:val="single"/>
        </w:rPr>
      </w:pPr>
    </w:p>
    <w:p w:rsidR="00C779F2" w:rsidRDefault="00C779F2">
      <w:pPr>
        <w:pStyle w:val="TableofAuthorities"/>
        <w:tabs>
          <w:tab w:val="right" w:leader="dot" w:pos="7190"/>
        </w:tabs>
        <w:rPr>
          <w:noProof/>
          <w:u w:val="single"/>
        </w:rPr>
      </w:pPr>
      <w:r w:rsidRPr="00230296">
        <w:rPr>
          <w:noProof/>
          <w:u w:val="single"/>
        </w:rPr>
        <w:t>State v. Schoel</w:t>
      </w:r>
    </w:p>
    <w:p w:rsidR="00C779F2" w:rsidRPr="00230296" w:rsidRDefault="00C779F2">
      <w:pPr>
        <w:pStyle w:val="TableofAuthorities"/>
        <w:tabs>
          <w:tab w:val="right" w:leader="dot" w:pos="7190"/>
        </w:tabs>
        <w:rPr>
          <w:noProof/>
        </w:rPr>
      </w:pPr>
      <w:r>
        <w:rPr>
          <w:noProof/>
        </w:rPr>
        <w:t>54 Wn</w:t>
      </w:r>
      <w:r w:rsidRPr="00230296">
        <w:rPr>
          <w:noProof/>
        </w:rPr>
        <w:t>.2d 388, 341 P.2d 481 (1959)</w:t>
      </w:r>
      <w:r w:rsidRPr="00230296">
        <w:rPr>
          <w:noProof/>
        </w:rPr>
        <w:tab/>
        <w:t>3</w:t>
      </w:r>
    </w:p>
    <w:p w:rsidR="00C779F2" w:rsidRDefault="00C779F2">
      <w:pPr>
        <w:pStyle w:val="TOAHeading"/>
        <w:tabs>
          <w:tab w:val="right" w:leader="dot" w:pos="7190"/>
        </w:tabs>
        <w:rPr>
          <w:rFonts w:ascii="Times New Roman" w:hAnsi="Times New Roman"/>
        </w:rPr>
      </w:pPr>
    </w:p>
    <w:p w:rsidR="00C779F2" w:rsidRPr="00230296" w:rsidRDefault="00C779F2" w:rsidP="00230296">
      <w:pPr>
        <w:pStyle w:val="TOAHeading"/>
        <w:tabs>
          <w:tab w:val="right" w:leader="dot" w:pos="7190"/>
        </w:tabs>
        <w:rPr>
          <w:rFonts w:ascii="Times New Roman" w:hAnsi="Times New Roman"/>
          <w:b w:val="0"/>
          <w:bCs w:val="0"/>
          <w:noProof/>
          <w:sz w:val="22"/>
          <w:szCs w:val="22"/>
        </w:rPr>
      </w:pPr>
      <w:r>
        <w:rPr>
          <w:rFonts w:ascii="Times New Roman" w:hAnsi="Times New Roman"/>
          <w:b w:val="0"/>
          <w:u w:val="single"/>
        </w:rPr>
        <w:t>FEDERAL CASES</w:t>
      </w:r>
      <w:r w:rsidRPr="00230296">
        <w:rPr>
          <w:rFonts w:ascii="Times New Roman" w:hAnsi="Times New Roman"/>
        </w:rPr>
        <w:fldChar w:fldCharType="begin"/>
      </w:r>
      <w:r w:rsidRPr="00230296">
        <w:rPr>
          <w:rFonts w:ascii="Times New Roman" w:hAnsi="Times New Roman"/>
        </w:rPr>
        <w:instrText xml:space="preserve"> TOA \h \c "8" </w:instrText>
      </w:r>
      <w:r w:rsidRPr="00230296">
        <w:rPr>
          <w:rFonts w:ascii="Times New Roman" w:hAnsi="Times New Roman"/>
        </w:rPr>
        <w:fldChar w:fldCharType="separate"/>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Apprendi v. New Jersey</w:t>
      </w:r>
    </w:p>
    <w:p w:rsidR="00C779F2" w:rsidRPr="00230296" w:rsidRDefault="00C779F2" w:rsidP="00230296">
      <w:pPr>
        <w:pStyle w:val="TableofAuthorities"/>
        <w:tabs>
          <w:tab w:val="right" w:leader="dot" w:pos="7190"/>
        </w:tabs>
        <w:rPr>
          <w:noProof/>
        </w:rPr>
      </w:pPr>
      <w:r w:rsidRPr="00230296">
        <w:rPr>
          <w:noProof/>
        </w:rPr>
        <w:t>530 U.S. 466, 120 S. Ct. 2348, 147 L. Ed. 2d 435 (2000)</w:t>
      </w:r>
      <w:r w:rsidRPr="00230296">
        <w:rPr>
          <w:noProof/>
        </w:rPr>
        <w:tab/>
        <w:t>8, 9, 10, 11</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Arizona v. Washington</w:t>
      </w:r>
    </w:p>
    <w:p w:rsidR="00C779F2" w:rsidRPr="00230296" w:rsidRDefault="00C779F2" w:rsidP="00230296">
      <w:pPr>
        <w:pStyle w:val="TableofAuthorities"/>
        <w:tabs>
          <w:tab w:val="right" w:leader="dot" w:pos="7190"/>
        </w:tabs>
        <w:rPr>
          <w:noProof/>
        </w:rPr>
      </w:pPr>
      <w:r w:rsidRPr="00230296">
        <w:rPr>
          <w:noProof/>
        </w:rPr>
        <w:t xml:space="preserve">434 U.S. 497, 98 S. Ct. 824, 54 L. Ed. </w:t>
      </w:r>
      <w:r>
        <w:rPr>
          <w:noProof/>
        </w:rPr>
        <w:t>2d</w:t>
      </w:r>
      <w:r w:rsidRPr="00230296">
        <w:rPr>
          <w:noProof/>
        </w:rPr>
        <w:t xml:space="preserve"> 717 (1978)</w:t>
      </w:r>
      <w:r w:rsidRPr="00230296">
        <w:rPr>
          <w:noProof/>
        </w:rPr>
        <w:tab/>
        <w:t>4, 6</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p>
    <w:p w:rsidR="00C779F2" w:rsidRPr="00230296" w:rsidRDefault="00C779F2" w:rsidP="00230296">
      <w:pPr>
        <w:jc w:val="center"/>
        <w:rPr>
          <w:b/>
        </w:rPr>
      </w:pPr>
      <w:r>
        <w:rPr>
          <w:b/>
          <w:u w:val="single"/>
        </w:rPr>
        <w:lastRenderedPageBreak/>
        <w:t>TABLE OF AUTHORITIES</w:t>
      </w:r>
      <w:r>
        <w:rPr>
          <w:b/>
        </w:rPr>
        <w:t xml:space="preserve"> (CONT'D)</w:t>
      </w:r>
    </w:p>
    <w:p w:rsidR="00C779F2" w:rsidRDefault="00C779F2" w:rsidP="00230296">
      <w:pPr>
        <w:jc w:val="right"/>
      </w:pPr>
      <w:r>
        <w:t>Page</w:t>
      </w:r>
    </w:p>
    <w:p w:rsidR="00C779F2" w:rsidRDefault="00C779F2" w:rsidP="00230296">
      <w:pPr>
        <w:pStyle w:val="TableofAuthorities"/>
        <w:tabs>
          <w:tab w:val="right" w:leader="dot" w:pos="7190"/>
        </w:tabs>
        <w:rPr>
          <w:noProof/>
          <w:u w:val="single"/>
        </w:rPr>
      </w:pPr>
      <w:r w:rsidRPr="00230296">
        <w:rPr>
          <w:noProof/>
          <w:u w:val="single"/>
        </w:rPr>
        <w:t>Brazzel v. Washington</w:t>
      </w:r>
    </w:p>
    <w:p w:rsidR="00C779F2" w:rsidRPr="00230296" w:rsidRDefault="00C779F2" w:rsidP="00230296">
      <w:pPr>
        <w:pStyle w:val="TableofAuthorities"/>
        <w:tabs>
          <w:tab w:val="right" w:leader="dot" w:pos="7190"/>
        </w:tabs>
        <w:rPr>
          <w:noProof/>
        </w:rPr>
      </w:pPr>
      <w:r w:rsidRPr="00230296">
        <w:rPr>
          <w:noProof/>
        </w:rPr>
        <w:t>491 F.3d 976 (9th Cir.2007)</w:t>
      </w:r>
      <w:r w:rsidRPr="00230296">
        <w:rPr>
          <w:noProof/>
        </w:rPr>
        <w:tab/>
        <w:t>5, 6, 7</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Bullington v. Missouri</w:t>
      </w:r>
    </w:p>
    <w:p w:rsidR="00C779F2" w:rsidRPr="00230296" w:rsidRDefault="00C779F2" w:rsidP="00230296">
      <w:pPr>
        <w:pStyle w:val="TableofAuthorities"/>
        <w:tabs>
          <w:tab w:val="right" w:leader="dot" w:pos="7190"/>
        </w:tabs>
        <w:rPr>
          <w:noProof/>
        </w:rPr>
      </w:pPr>
      <w:r>
        <w:rPr>
          <w:noProof/>
        </w:rPr>
        <w:t>451 U.S. 430,</w:t>
      </w:r>
      <w:r w:rsidRPr="00230296">
        <w:rPr>
          <w:noProof/>
        </w:rPr>
        <w:t xml:space="preserve"> 101 S. Ct. 1852, 68 L. Ed. 2d 270 (1981)</w:t>
      </w:r>
      <w:r w:rsidRPr="00230296">
        <w:rPr>
          <w:noProof/>
        </w:rPr>
        <w:tab/>
        <w:t>9</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Currier v. Virginia</w:t>
      </w:r>
    </w:p>
    <w:p w:rsidR="00C779F2" w:rsidRPr="00230296" w:rsidRDefault="00C779F2" w:rsidP="00230296">
      <w:pPr>
        <w:pStyle w:val="TableofAuthorities"/>
        <w:tabs>
          <w:tab w:val="right" w:leader="dot" w:pos="7190"/>
        </w:tabs>
        <w:rPr>
          <w:noProof/>
        </w:rPr>
      </w:pPr>
      <w:r w:rsidRPr="00230296">
        <w:rPr>
          <w:noProof/>
        </w:rPr>
        <w:t>___ U.S. ___, 138 S. Ct. 2144, 2149, ___ L. Ed. 3d (2018)</w:t>
      </w:r>
      <w:r w:rsidRPr="00230296">
        <w:rPr>
          <w:noProof/>
        </w:rPr>
        <w:tab/>
        <w:t>3</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Green v. United States</w:t>
      </w:r>
    </w:p>
    <w:p w:rsidR="00C779F2" w:rsidRPr="00230296" w:rsidRDefault="00C779F2" w:rsidP="00230296">
      <w:pPr>
        <w:pStyle w:val="TableofAuthorities"/>
        <w:tabs>
          <w:tab w:val="right" w:leader="dot" w:pos="7190"/>
        </w:tabs>
        <w:rPr>
          <w:noProof/>
        </w:rPr>
      </w:pPr>
      <w:r w:rsidRPr="00230296">
        <w:rPr>
          <w:noProof/>
        </w:rPr>
        <w:t>355 U.S. 871, 78 S.Ct. 122, 2 L.Ed.2d 76 (1957)</w:t>
      </w:r>
      <w:r w:rsidRPr="00230296">
        <w:rPr>
          <w:noProof/>
        </w:rPr>
        <w:tab/>
        <w:t>3, 4, 7</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Monge v. California</w:t>
      </w:r>
    </w:p>
    <w:p w:rsidR="00C779F2" w:rsidRPr="00230296" w:rsidRDefault="00C779F2" w:rsidP="00230296">
      <w:pPr>
        <w:pStyle w:val="TableofAuthorities"/>
        <w:tabs>
          <w:tab w:val="right" w:leader="dot" w:pos="7190"/>
        </w:tabs>
        <w:rPr>
          <w:noProof/>
        </w:rPr>
      </w:pPr>
      <w:r>
        <w:rPr>
          <w:noProof/>
        </w:rPr>
        <w:t>524 U.S. 721,</w:t>
      </w:r>
      <w:r w:rsidRPr="00230296">
        <w:rPr>
          <w:noProof/>
        </w:rPr>
        <w:t xml:space="preserve"> 118 S. Ct. 2246, 141 L. Ed. 2d 615 (1998)</w:t>
      </w:r>
      <w:r w:rsidRPr="00230296">
        <w:rPr>
          <w:noProof/>
        </w:rPr>
        <w:tab/>
        <w:t>9, 11</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Price v. Georgia</w:t>
      </w:r>
    </w:p>
    <w:p w:rsidR="00C779F2" w:rsidRPr="00230296" w:rsidRDefault="00C779F2" w:rsidP="00230296">
      <w:pPr>
        <w:pStyle w:val="TableofAuthorities"/>
        <w:tabs>
          <w:tab w:val="right" w:leader="dot" w:pos="7190"/>
        </w:tabs>
        <w:rPr>
          <w:noProof/>
        </w:rPr>
      </w:pPr>
      <w:r>
        <w:rPr>
          <w:noProof/>
        </w:rPr>
        <w:t>398 U.S. 323</w:t>
      </w:r>
      <w:r w:rsidRPr="00230296">
        <w:rPr>
          <w:noProof/>
        </w:rPr>
        <w:t>, 90 S. Ct. 1757, 26 L. Ed. 2d 300 (1970)</w:t>
      </w:r>
      <w:r w:rsidRPr="00230296">
        <w:rPr>
          <w:noProof/>
        </w:rPr>
        <w:tab/>
        <w:t>4</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Richardson v. United States</w:t>
      </w:r>
    </w:p>
    <w:p w:rsidR="00C779F2" w:rsidRPr="00230296" w:rsidRDefault="00C779F2" w:rsidP="00230296">
      <w:pPr>
        <w:pStyle w:val="TableofAuthorities"/>
        <w:tabs>
          <w:tab w:val="right" w:leader="dot" w:pos="7190"/>
        </w:tabs>
        <w:rPr>
          <w:noProof/>
        </w:rPr>
      </w:pPr>
      <w:r w:rsidRPr="00230296">
        <w:rPr>
          <w:noProof/>
        </w:rPr>
        <w:t>468 U.S. 317, 104 S. Ct. 3081, 82 L. Ed. 2d 242 (1984)</w:t>
      </w:r>
      <w:r w:rsidRPr="00230296">
        <w:rPr>
          <w:noProof/>
        </w:rPr>
        <w:tab/>
        <w:t>6</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Selvester v. United States</w:t>
      </w:r>
    </w:p>
    <w:p w:rsidR="00C779F2" w:rsidRPr="00230296" w:rsidRDefault="00C779F2" w:rsidP="00230296">
      <w:pPr>
        <w:pStyle w:val="TableofAuthorities"/>
        <w:tabs>
          <w:tab w:val="right" w:leader="dot" w:pos="7190"/>
        </w:tabs>
        <w:rPr>
          <w:noProof/>
        </w:rPr>
      </w:pPr>
      <w:r>
        <w:rPr>
          <w:noProof/>
        </w:rPr>
        <w:t>170 U.S. 262,</w:t>
      </w:r>
      <w:r w:rsidRPr="00230296">
        <w:rPr>
          <w:noProof/>
        </w:rPr>
        <w:t xml:space="preserve"> 18 S. Ct. 580, 42 L. Ed. 1029 (1898)</w:t>
      </w:r>
      <w:r w:rsidRPr="00230296">
        <w:rPr>
          <w:noProof/>
        </w:rPr>
        <w:tab/>
        <w:t>7</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United States v. Perez</w:t>
      </w:r>
    </w:p>
    <w:p w:rsidR="00C779F2" w:rsidRPr="00230296" w:rsidRDefault="00C779F2" w:rsidP="00230296">
      <w:pPr>
        <w:pStyle w:val="TableofAuthorities"/>
        <w:tabs>
          <w:tab w:val="right" w:leader="dot" w:pos="7190"/>
        </w:tabs>
        <w:rPr>
          <w:noProof/>
        </w:rPr>
      </w:pPr>
      <w:r w:rsidRPr="00230296">
        <w:rPr>
          <w:noProof/>
        </w:rPr>
        <w:t>22 U.S. (9 Wheat.) 579, 6 L. Ed. 165 (1824)</w:t>
      </w:r>
      <w:r w:rsidRPr="00230296">
        <w:rPr>
          <w:noProof/>
        </w:rPr>
        <w:tab/>
        <w:t>6</w:t>
      </w:r>
    </w:p>
    <w:p w:rsidR="00C779F2" w:rsidRDefault="00C779F2" w:rsidP="00230296">
      <w:pPr>
        <w:pStyle w:val="TableofAuthorities"/>
        <w:tabs>
          <w:tab w:val="right" w:leader="dot" w:pos="7190"/>
        </w:tabs>
        <w:rPr>
          <w:noProof/>
          <w:u w:val="single"/>
        </w:rPr>
      </w:pPr>
    </w:p>
    <w:p w:rsidR="00C779F2" w:rsidRDefault="00C779F2" w:rsidP="00230296">
      <w:pPr>
        <w:pStyle w:val="TableofAuthorities"/>
        <w:tabs>
          <w:tab w:val="right" w:leader="dot" w:pos="7190"/>
        </w:tabs>
        <w:rPr>
          <w:noProof/>
          <w:u w:val="single"/>
        </w:rPr>
      </w:pPr>
      <w:r w:rsidRPr="00230296">
        <w:rPr>
          <w:noProof/>
          <w:u w:val="single"/>
        </w:rPr>
        <w:t>Wade v. Hunter</w:t>
      </w:r>
    </w:p>
    <w:p w:rsidR="00C779F2" w:rsidRPr="00230296" w:rsidRDefault="00C779F2" w:rsidP="00230296">
      <w:pPr>
        <w:pStyle w:val="TableofAuthorities"/>
        <w:tabs>
          <w:tab w:val="right" w:leader="dot" w:pos="7190"/>
        </w:tabs>
        <w:rPr>
          <w:noProof/>
        </w:rPr>
      </w:pPr>
      <w:r w:rsidRPr="00230296">
        <w:rPr>
          <w:noProof/>
        </w:rPr>
        <w:t>336 U.S. 684, 69 S. Ct. 834, 93 L. Ed. 974 (1949)</w:t>
      </w:r>
      <w:r w:rsidRPr="00230296">
        <w:rPr>
          <w:noProof/>
        </w:rPr>
        <w:tab/>
        <w:t>4</w:t>
      </w:r>
    </w:p>
    <w:p w:rsidR="00C779F2" w:rsidRDefault="00C779F2" w:rsidP="00230296">
      <w:pPr>
        <w:pStyle w:val="TOAHeading"/>
        <w:tabs>
          <w:tab w:val="right" w:leader="dot" w:pos="7190"/>
        </w:tabs>
        <w:rPr>
          <w:rFonts w:ascii="Times New Roman" w:hAnsi="Times New Roman"/>
        </w:rPr>
      </w:pPr>
    </w:p>
    <w:p w:rsidR="00C779F2" w:rsidRPr="00230296" w:rsidRDefault="00C779F2" w:rsidP="00230296">
      <w:pPr>
        <w:pStyle w:val="TOAHeading"/>
        <w:tabs>
          <w:tab w:val="right" w:leader="dot" w:pos="7190"/>
        </w:tabs>
        <w:rPr>
          <w:rFonts w:ascii="Times New Roman" w:hAnsi="Times New Roman"/>
          <w:b w:val="0"/>
          <w:bCs w:val="0"/>
          <w:noProof/>
          <w:sz w:val="22"/>
          <w:szCs w:val="22"/>
        </w:rPr>
      </w:pPr>
      <w:r w:rsidRPr="00230296">
        <w:rPr>
          <w:rFonts w:ascii="Times New Roman" w:hAnsi="Times New Roman"/>
        </w:rPr>
        <w:fldChar w:fldCharType="end"/>
      </w:r>
      <w:r>
        <w:rPr>
          <w:rFonts w:ascii="Times New Roman" w:hAnsi="Times New Roman"/>
          <w:b w:val="0"/>
          <w:u w:val="single"/>
        </w:rPr>
        <w:t>RULES, STATUTES AND OTHER AUTHORITIES</w:t>
      </w:r>
      <w:r w:rsidRPr="00230296">
        <w:rPr>
          <w:rFonts w:ascii="Times New Roman" w:hAnsi="Times New Roman"/>
        </w:rPr>
        <w:fldChar w:fldCharType="end"/>
      </w:r>
      <w:r w:rsidRPr="00230296">
        <w:rPr>
          <w:rFonts w:ascii="Times New Roman" w:hAnsi="Times New Roman"/>
        </w:rPr>
        <w:fldChar w:fldCharType="begin"/>
      </w:r>
      <w:r w:rsidRPr="00230296">
        <w:rPr>
          <w:rFonts w:ascii="Times New Roman" w:hAnsi="Times New Roman"/>
        </w:rPr>
        <w:instrText xml:space="preserve"> TOA \h \c "4" </w:instrText>
      </w:r>
      <w:r w:rsidRPr="00230296">
        <w:rPr>
          <w:rFonts w:ascii="Times New Roman" w:hAnsi="Times New Roman"/>
        </w:rPr>
        <w:fldChar w:fldCharType="separate"/>
      </w:r>
    </w:p>
    <w:p w:rsidR="00C779F2" w:rsidRDefault="00C779F2">
      <w:pPr>
        <w:pStyle w:val="TableofAuthorities"/>
        <w:tabs>
          <w:tab w:val="right" w:leader="dot" w:pos="7190"/>
        </w:tabs>
        <w:rPr>
          <w:smallCaps/>
          <w:noProof/>
        </w:rPr>
      </w:pPr>
    </w:p>
    <w:p w:rsidR="00C779F2" w:rsidRDefault="00C779F2">
      <w:pPr>
        <w:pStyle w:val="TableofAuthorities"/>
        <w:tabs>
          <w:tab w:val="right" w:leader="dot" w:pos="7190"/>
        </w:tabs>
        <w:rPr>
          <w:noProof/>
        </w:rPr>
      </w:pPr>
      <w:r w:rsidRPr="00230296">
        <w:rPr>
          <w:noProof/>
        </w:rPr>
        <w:t xml:space="preserve">U.S. </w:t>
      </w:r>
      <w:r w:rsidRPr="00230296">
        <w:rPr>
          <w:smallCaps/>
          <w:noProof/>
        </w:rPr>
        <w:t>Const</w:t>
      </w:r>
      <w:r w:rsidRPr="00230296">
        <w:rPr>
          <w:noProof/>
        </w:rPr>
        <w:t>. amend. V</w:t>
      </w:r>
      <w:r w:rsidRPr="00230296">
        <w:rPr>
          <w:noProof/>
        </w:rPr>
        <w:tab/>
        <w:t>3</w:t>
      </w:r>
    </w:p>
    <w:p w:rsidR="00C779F2" w:rsidRDefault="00C779F2" w:rsidP="00230296"/>
    <w:p w:rsidR="00C779F2" w:rsidRPr="00230296" w:rsidRDefault="00C779F2" w:rsidP="00230296">
      <w:pPr>
        <w:pStyle w:val="TableofAuthorities"/>
        <w:tabs>
          <w:tab w:val="right" w:leader="dot" w:pos="7190"/>
        </w:tabs>
        <w:rPr>
          <w:b/>
          <w:u w:val="single"/>
        </w:rPr>
      </w:pPr>
      <w:r w:rsidRPr="00230296">
        <w:rPr>
          <w:smallCaps/>
          <w:noProof/>
        </w:rPr>
        <w:t>Const</w:t>
      </w:r>
      <w:r w:rsidRPr="00230296">
        <w:rPr>
          <w:noProof/>
        </w:rPr>
        <w:t>. art. I, § 9</w:t>
      </w:r>
      <w:r w:rsidRPr="00230296">
        <w:rPr>
          <w:noProof/>
        </w:rPr>
        <w:tab/>
        <w:t>3</w:t>
      </w:r>
      <w:r w:rsidRPr="00230296">
        <w:fldChar w:fldCharType="end"/>
      </w:r>
    </w:p>
    <w:p w:rsidR="00C779F2" w:rsidRDefault="00C779F2" w:rsidP="00230296">
      <w:pPr>
        <w:rPr>
          <w:szCs w:val="20"/>
        </w:rPr>
      </w:pPr>
    </w:p>
    <w:p w:rsidR="00C779F2" w:rsidRDefault="00C779F2" w:rsidP="000826F0">
      <w:pPr>
        <w:numPr>
          <w:ilvl w:val="0"/>
          <w:numId w:val="1"/>
        </w:numPr>
        <w:tabs>
          <w:tab w:val="clear" w:pos="1800"/>
        </w:tabs>
        <w:spacing w:line="480" w:lineRule="auto"/>
        <w:ind w:left="720" w:hanging="720"/>
        <w:jc w:val="both"/>
        <w:rPr>
          <w:caps/>
          <w:u w:val="single"/>
        </w:rPr>
        <w:sectPr w:rsidR="00C779F2" w:rsidSect="00230296">
          <w:pgSz w:w="12240" w:h="15840"/>
          <w:pgMar w:top="2160" w:right="2160" w:bottom="2160" w:left="2880" w:header="720" w:footer="720" w:gutter="0"/>
          <w:pgNumType w:fmt="lowerRoman" w:start="1"/>
          <w:cols w:space="720"/>
          <w:docGrid w:linePitch="360"/>
        </w:sectPr>
      </w:pPr>
    </w:p>
    <w:p w:rsidR="00C779F2" w:rsidRPr="005850E2" w:rsidRDefault="00C779F2" w:rsidP="000826F0">
      <w:pPr>
        <w:numPr>
          <w:ilvl w:val="0"/>
          <w:numId w:val="1"/>
        </w:numPr>
        <w:tabs>
          <w:tab w:val="clear" w:pos="1800"/>
        </w:tabs>
        <w:spacing w:line="480" w:lineRule="auto"/>
        <w:ind w:left="720" w:hanging="720"/>
        <w:jc w:val="both"/>
      </w:pPr>
      <w:r w:rsidRPr="00A059C7">
        <w:rPr>
          <w:caps/>
          <w:u w:val="single"/>
        </w:rPr>
        <w:lastRenderedPageBreak/>
        <w:t xml:space="preserve">additional </w:t>
      </w:r>
      <w:r w:rsidRPr="00776766">
        <w:rPr>
          <w:u w:val="single"/>
        </w:rPr>
        <w:t>ISSU</w:t>
      </w:r>
      <w:r w:rsidRPr="00776766">
        <w:rPr>
          <w:caps/>
          <w:u w:val="single"/>
        </w:rPr>
        <w:t xml:space="preserve">e </w:t>
      </w:r>
      <w:r w:rsidRPr="00776766">
        <w:rPr>
          <w:u w:val="single"/>
        </w:rPr>
        <w:t>PRESENTED</w:t>
      </w:r>
      <w:r w:rsidRPr="002413EE">
        <w:t xml:space="preserve"> </w:t>
      </w:r>
      <w:r w:rsidRPr="002413EE">
        <w:rPr>
          <w:rStyle w:val="FootnoteReference"/>
        </w:rPr>
        <w:footnoteReference w:id="1"/>
      </w:r>
      <w:r>
        <w:fldChar w:fldCharType="begin"/>
      </w:r>
      <w:proofErr w:type="spellStart"/>
      <w:r>
        <w:instrText>tc</w:instrText>
      </w:r>
      <w:proofErr w:type="spellEnd"/>
      <w:r>
        <w:instrText xml:space="preserve"> "</w:instrText>
      </w:r>
      <w:bookmarkStart w:id="1" w:name="_Toc521490534"/>
      <w:r w:rsidRPr="00A76830">
        <w:rPr>
          <w:caps/>
          <w:u w:val="single"/>
        </w:rPr>
        <w:instrText xml:space="preserve">additional </w:instrText>
      </w:r>
      <w:r w:rsidRPr="00A76830">
        <w:rPr>
          <w:u w:val="single"/>
        </w:rPr>
        <w:instrText>ISSU</w:instrText>
      </w:r>
      <w:r w:rsidRPr="00A76830">
        <w:rPr>
          <w:caps/>
          <w:u w:val="single"/>
        </w:rPr>
        <w:instrText xml:space="preserve">e </w:instrText>
      </w:r>
      <w:r w:rsidRPr="00A76830">
        <w:rPr>
          <w:u w:val="single"/>
        </w:rPr>
        <w:instrText>PRESENTED</w:instrText>
      </w:r>
      <w:bookmarkEnd w:id="1"/>
      <w:r>
        <w:instrText>" \f C \l 1</w:instrText>
      </w:r>
      <w:r>
        <w:fldChar w:fldCharType="end"/>
      </w:r>
    </w:p>
    <w:p w:rsidR="00C779F2" w:rsidRDefault="00C779F2" w:rsidP="002413EE">
      <w:pPr>
        <w:pStyle w:val="ListParagraph"/>
        <w:spacing w:line="480" w:lineRule="auto"/>
        <w:ind w:left="0" w:firstLine="720"/>
        <w:jc w:val="both"/>
      </w:pPr>
      <w:r>
        <w:t xml:space="preserve">Upon the agreement of the parties, the trial court entered a verdict on second degree assault, as well as the blank verdict form on the firearm allegation corresponding to that charge.  The court dismissed the jury.  But the trial court entered no finding that such dismissal was manifestly necessary.  </w:t>
      </w:r>
    </w:p>
    <w:p w:rsidR="00C779F2" w:rsidRDefault="00C779F2" w:rsidP="002413EE">
      <w:pPr>
        <w:pStyle w:val="ListParagraph"/>
        <w:spacing w:line="480" w:lineRule="auto"/>
        <w:ind w:left="0" w:firstLine="720"/>
        <w:jc w:val="both"/>
      </w:pPr>
      <w:r>
        <w:t>Under these circumstances, did retrial on the firearm allegation violate the prohibition on double jeopardy?</w:t>
      </w:r>
    </w:p>
    <w:p w:rsidR="00C779F2" w:rsidRPr="0006437F" w:rsidRDefault="00C779F2" w:rsidP="000826F0">
      <w:pPr>
        <w:pStyle w:val="ListParagraph"/>
        <w:numPr>
          <w:ilvl w:val="0"/>
          <w:numId w:val="1"/>
        </w:numPr>
        <w:tabs>
          <w:tab w:val="clear" w:pos="1800"/>
        </w:tabs>
        <w:spacing w:line="480" w:lineRule="auto"/>
        <w:ind w:left="720" w:hanging="720"/>
        <w:jc w:val="both"/>
        <w:rPr>
          <w:caps/>
          <w:u w:val="single"/>
        </w:rPr>
      </w:pPr>
      <w:r>
        <w:rPr>
          <w:caps/>
          <w:u w:val="single"/>
        </w:rPr>
        <w:t>additional facts</w:t>
      </w:r>
      <w:r>
        <w:rPr>
          <w:caps/>
          <w:u w:val="single"/>
        </w:rPr>
        <w:fldChar w:fldCharType="begin"/>
      </w:r>
      <w:proofErr w:type="spellStart"/>
      <w:r>
        <w:instrText>tc</w:instrText>
      </w:r>
      <w:proofErr w:type="spellEnd"/>
      <w:r>
        <w:instrText xml:space="preserve"> "</w:instrText>
      </w:r>
      <w:bookmarkStart w:id="2" w:name="_Toc521490535"/>
      <w:r w:rsidRPr="00EA040C">
        <w:rPr>
          <w:caps/>
          <w:u w:val="single"/>
        </w:rPr>
        <w:instrText>additional facts</w:instrText>
      </w:r>
      <w:bookmarkEnd w:id="2"/>
      <w:r>
        <w:instrText>" \f C \l 1</w:instrText>
      </w:r>
      <w:r>
        <w:rPr>
          <w:caps/>
          <w:u w:val="single"/>
        </w:rPr>
        <w:fldChar w:fldCharType="end"/>
      </w:r>
    </w:p>
    <w:p w:rsidR="00C779F2" w:rsidRDefault="00C779F2" w:rsidP="0006437F">
      <w:pPr>
        <w:pStyle w:val="BodyTextIndent"/>
        <w:ind w:left="0" w:firstLine="720"/>
        <w:jc w:val="both"/>
      </w:pPr>
      <w:r>
        <w:t xml:space="preserve">The jury was instructed that if it was unable to reach a unanimous decision as to the firearm special verdict, it should leave the form blank.  CP </w:t>
      </w:r>
      <w:r>
        <w:lastRenderedPageBreak/>
        <w:t>95.  After a deliberating juror was dismissed, a reconstituted jury deliberated for slightly more than one day before reaching its verdicts.  CP 194-97.</w:t>
      </w:r>
    </w:p>
    <w:p w:rsidR="00C779F2" w:rsidRDefault="00C779F2" w:rsidP="0006437F">
      <w:pPr>
        <w:pStyle w:val="BodyTextIndent"/>
        <w:ind w:left="0" w:firstLine="720"/>
        <w:jc w:val="both"/>
      </w:pPr>
      <w:r>
        <w:t xml:space="preserve">Having found guilty of </w:t>
      </w:r>
      <w:proofErr w:type="gramStart"/>
      <w:r>
        <w:t>second degree</w:t>
      </w:r>
      <w:proofErr w:type="gramEnd"/>
      <w:r>
        <w:t xml:space="preserve"> assault,</w:t>
      </w:r>
      <w:r>
        <w:rPr>
          <w:rStyle w:val="FootnoteReference"/>
        </w:rPr>
        <w:footnoteReference w:id="2"/>
      </w:r>
      <w:r>
        <w:t xml:space="preserve"> a lesser degree of the first degree assault charge, the jury nonetheless left the corresponding firearm special verdict form blank.  CP 112.  The trial court found that leaving the firearm form blank constituted a “verdict” as to that allegation.  8RP 20-21; CP 196-97.  The parties agreed.  8RP 22.  The verdicts were entered.  CP 109-12.  </w:t>
      </w:r>
    </w:p>
    <w:p w:rsidR="00C779F2" w:rsidRDefault="00C779F2" w:rsidP="0006437F">
      <w:pPr>
        <w:pStyle w:val="BodyTextIndent"/>
        <w:ind w:left="0" w:firstLine="720"/>
        <w:jc w:val="both"/>
      </w:pPr>
      <w:r>
        <w:t>A week later, the State told the Court it was seeking retrial on the firearm enhancement, suggesting that the blank verdict form was tantamount to a “hung” jury.”  8RP 30.  A jury answered “yes” on a firearm verdict after the ensuing seven-day trial.  CP 123.</w:t>
      </w:r>
    </w:p>
    <w:p w:rsidR="00C779F2" w:rsidRPr="00F4198E" w:rsidRDefault="00C779F2" w:rsidP="000826F0">
      <w:pPr>
        <w:pStyle w:val="ListParagraph"/>
        <w:numPr>
          <w:ilvl w:val="0"/>
          <w:numId w:val="1"/>
        </w:numPr>
        <w:tabs>
          <w:tab w:val="clear" w:pos="1800"/>
        </w:tabs>
        <w:ind w:left="720" w:hanging="720"/>
        <w:rPr>
          <w:caps/>
          <w:u w:val="single"/>
        </w:rPr>
      </w:pPr>
      <w:r>
        <w:rPr>
          <w:caps/>
          <w:u w:val="single"/>
        </w:rPr>
        <w:t xml:space="preserve">ADDITIONAL </w:t>
      </w:r>
      <w:r w:rsidRPr="00F4198E">
        <w:rPr>
          <w:caps/>
          <w:u w:val="single"/>
        </w:rPr>
        <w:t>ARGUMENT</w:t>
      </w:r>
      <w:r>
        <w:rPr>
          <w:caps/>
          <w:u w:val="single"/>
        </w:rPr>
        <w:fldChar w:fldCharType="begin"/>
      </w:r>
      <w:proofErr w:type="spellStart"/>
      <w:r>
        <w:instrText>tc</w:instrText>
      </w:r>
      <w:proofErr w:type="spellEnd"/>
      <w:r>
        <w:instrText xml:space="preserve"> "</w:instrText>
      </w:r>
      <w:bookmarkStart w:id="3" w:name="_Toc521490536"/>
      <w:r w:rsidRPr="001316AA">
        <w:rPr>
          <w:caps/>
          <w:u w:val="single"/>
        </w:rPr>
        <w:instrText>ADDITIONAL ARGUMENT</w:instrText>
      </w:r>
      <w:bookmarkEnd w:id="3"/>
      <w:r>
        <w:instrText>" \f C \l 1</w:instrText>
      </w:r>
      <w:r>
        <w:rPr>
          <w:caps/>
          <w:u w:val="single"/>
        </w:rPr>
        <w:fldChar w:fldCharType="end"/>
      </w:r>
    </w:p>
    <w:p w:rsidR="00C779F2" w:rsidRDefault="00C779F2" w:rsidP="005419CC">
      <w:pPr>
        <w:rPr>
          <w:caps/>
          <w:u w:val="single"/>
        </w:rPr>
      </w:pPr>
    </w:p>
    <w:p w:rsidR="00C779F2" w:rsidRPr="000D6A8E" w:rsidRDefault="00C779F2" w:rsidP="000826F0">
      <w:pPr>
        <w:pStyle w:val="BodyTextIndent"/>
        <w:numPr>
          <w:ilvl w:val="0"/>
          <w:numId w:val="9"/>
        </w:numPr>
        <w:spacing w:line="240" w:lineRule="auto"/>
        <w:ind w:left="1440" w:hanging="720"/>
        <w:jc w:val="both"/>
      </w:pPr>
      <w:r>
        <w:rPr>
          <w:caps/>
        </w:rPr>
        <w:t>the entry of the verdicts terminated jeopardy.</w:t>
      </w:r>
      <w:r>
        <w:rPr>
          <w:caps/>
        </w:rPr>
        <w:fldChar w:fldCharType="begin"/>
      </w:r>
      <w:proofErr w:type="spellStart"/>
      <w:r>
        <w:instrText>tc</w:instrText>
      </w:r>
      <w:proofErr w:type="spellEnd"/>
      <w:r>
        <w:instrText xml:space="preserve"> "</w:instrText>
      </w:r>
      <w:bookmarkStart w:id="4" w:name="_Toc521490537"/>
      <w:r w:rsidRPr="00530348">
        <w:rPr>
          <w:caps/>
        </w:rPr>
        <w:instrText>the entry of the verdicts terminated jeopardy.</w:instrText>
      </w:r>
      <w:bookmarkEnd w:id="4"/>
      <w:r>
        <w:instrText>" \f C \l 2</w:instrText>
      </w:r>
      <w:r>
        <w:rPr>
          <w:caps/>
        </w:rPr>
        <w:fldChar w:fldCharType="end"/>
      </w:r>
    </w:p>
    <w:p w:rsidR="00C779F2" w:rsidRDefault="00C779F2" w:rsidP="005419CC">
      <w:pPr>
        <w:pStyle w:val="BodyTextIndent"/>
        <w:spacing w:line="240" w:lineRule="auto"/>
        <w:ind w:left="0" w:firstLine="0"/>
        <w:jc w:val="both"/>
        <w:rPr>
          <w:caps/>
        </w:rPr>
      </w:pPr>
    </w:p>
    <w:p w:rsidR="00C779F2" w:rsidRDefault="00C779F2" w:rsidP="00737D8F">
      <w:pPr>
        <w:pStyle w:val="BodyTextIndent"/>
        <w:ind w:left="0" w:firstLine="720"/>
        <w:jc w:val="both"/>
      </w:pPr>
      <w:r>
        <w:t xml:space="preserve">In the absence of </w:t>
      </w:r>
      <w:r w:rsidRPr="00935F49">
        <w:t xml:space="preserve">a finding of a manifest necessity for retrial, </w:t>
      </w:r>
      <w:r>
        <w:t xml:space="preserve">Mr. Thomas’s </w:t>
      </w:r>
      <w:r w:rsidRPr="00935F49">
        <w:t>jeopardy te</w:t>
      </w:r>
      <w:r>
        <w:t>rminated upon entry of the jury’</w:t>
      </w:r>
      <w:r w:rsidRPr="00935F49">
        <w:t>s verdict on the</w:t>
      </w:r>
      <w:r>
        <w:t xml:space="preserve"> </w:t>
      </w:r>
      <w:proofErr w:type="gramStart"/>
      <w:r>
        <w:t>second degree</w:t>
      </w:r>
      <w:proofErr w:type="gramEnd"/>
      <w:r>
        <w:t xml:space="preserve"> assault charge and corresponding blank special verdict form.  For </w:t>
      </w:r>
      <w:r>
        <w:lastRenderedPageBreak/>
        <w:t>the reasons explained in argument section 2 below, moreover, double jeopardy prohibited retrial on the firearm allegation.</w:t>
      </w:r>
    </w:p>
    <w:p w:rsidR="00C779F2" w:rsidRDefault="00C779F2" w:rsidP="008D7BAC">
      <w:pPr>
        <w:pStyle w:val="BodyTextIndent"/>
        <w:ind w:left="90" w:firstLine="630"/>
        <w:jc w:val="both"/>
      </w:pPr>
      <w:r>
        <w:t xml:space="preserve">The United States Constitution provides that no person shall “be subject for the same offense to be twice put in jeopardy of life or limb.” U.S. </w:t>
      </w:r>
      <w:r>
        <w:rPr>
          <w:smallCaps/>
        </w:rPr>
        <w:t>Const</w:t>
      </w:r>
      <w:r>
        <w:t>. amend. V</w:t>
      </w:r>
      <w:r>
        <w:fldChar w:fldCharType="begin"/>
      </w:r>
      <w:r>
        <w:instrText xml:space="preserve"> TA \l "</w:instrText>
      </w:r>
      <w:r w:rsidRPr="000832B9">
        <w:instrText xml:space="preserve">U.S. </w:instrText>
      </w:r>
      <w:r w:rsidRPr="000832B9">
        <w:rPr>
          <w:smallCaps/>
        </w:rPr>
        <w:instrText>Const</w:instrText>
      </w:r>
      <w:r w:rsidRPr="000832B9">
        <w:instrText>. amend. V</w:instrText>
      </w:r>
      <w:r>
        <w:instrText xml:space="preserve">" \s "U.S. Const. amend. V" \c 4 </w:instrText>
      </w:r>
      <w:r>
        <w:fldChar w:fldCharType="end"/>
      </w:r>
      <w:r>
        <w:t xml:space="preserve">.  The state constitution prohibits persons from being “twice put in jeopardy for the same offense.” </w:t>
      </w:r>
      <w:r>
        <w:rPr>
          <w:smallCaps/>
        </w:rPr>
        <w:t>Const</w:t>
      </w:r>
      <w:r>
        <w:t>. art. I, § 9</w:t>
      </w:r>
      <w:r>
        <w:fldChar w:fldCharType="begin"/>
      </w:r>
      <w:r>
        <w:instrText xml:space="preserve"> TA \l "</w:instrText>
      </w:r>
      <w:r w:rsidRPr="0003081F">
        <w:rPr>
          <w:smallCaps/>
        </w:rPr>
        <w:instrText>Const</w:instrText>
      </w:r>
      <w:r w:rsidRPr="0003081F">
        <w:instrText>. art. I, § 9</w:instrText>
      </w:r>
      <w:r>
        <w:instrText xml:space="preserve">" \s "Const. art. I, § 9" \c 4 </w:instrText>
      </w:r>
      <w:r>
        <w:fldChar w:fldCharType="end"/>
      </w:r>
      <w:r>
        <w:t xml:space="preserve">.  “This guarantee recognizes the vast power of the sovereign, the ordeal of a criminal trial, and the injustice our criminal justice system would invite if prosecutors could treat trials as dress rehearsals until they secure the convictions they seek.”  </w:t>
      </w:r>
      <w:r w:rsidRPr="008D7BAC">
        <w:rPr>
          <w:u w:val="single"/>
        </w:rPr>
        <w:t>Currier v. Virginia</w:t>
      </w:r>
      <w:r>
        <w:t>, ___ U.S. ___, 138 S. Ct. 2144, 2149, ___ L. Ed. 3d (2018)</w:t>
      </w:r>
      <w:r>
        <w:fldChar w:fldCharType="begin"/>
      </w:r>
      <w:r>
        <w:instrText xml:space="preserve"> TA \l "</w:instrText>
      </w:r>
      <w:r w:rsidRPr="00FF69E4">
        <w:rPr>
          <w:u w:val="single"/>
        </w:rPr>
        <w:instrText>Currier v. Virginia</w:instrText>
      </w:r>
      <w:r w:rsidRPr="00FF69E4">
        <w:instrText>, ___ U.S. ___, 138 S. Ct. 2144, 2149, ___ L. Ed. 3d (2018)</w:instrText>
      </w:r>
      <w:r>
        <w:instrText xml:space="preserve">" \s "Currier" \c 8 </w:instrText>
      </w:r>
      <w:r>
        <w:fldChar w:fldCharType="end"/>
      </w:r>
      <w:r>
        <w:t xml:space="preserve"> (citing </w:t>
      </w:r>
      <w:r w:rsidRPr="008D7BAC">
        <w:rPr>
          <w:u w:val="single"/>
        </w:rPr>
        <w:t>Green v. United States</w:t>
      </w:r>
      <w:r>
        <w:t xml:space="preserve">, 355 U.S. 871, 78 </w:t>
      </w:r>
      <w:proofErr w:type="spellStart"/>
      <w:r>
        <w:t>S.Ct</w:t>
      </w:r>
      <w:proofErr w:type="spellEnd"/>
      <w:r>
        <w:t>. 122, 2 L.Ed.2d 76 (1957)</w:t>
      </w:r>
      <w:r>
        <w:fldChar w:fldCharType="begin"/>
      </w:r>
      <w:r>
        <w:instrText xml:space="preserve"> TA \l "</w:instrText>
      </w:r>
      <w:r w:rsidRPr="008905F4">
        <w:rPr>
          <w:u w:val="single"/>
        </w:rPr>
        <w:instrText>Green v. United States</w:instrText>
      </w:r>
      <w:r w:rsidRPr="008905F4">
        <w:instrText xml:space="preserve">, 355 U.S. 871, 78 </w:instrText>
      </w:r>
      <w:proofErr w:type="spellStart"/>
      <w:r w:rsidRPr="008905F4">
        <w:instrText>S.Ct</w:instrText>
      </w:r>
      <w:proofErr w:type="spellEnd"/>
      <w:r w:rsidRPr="008905F4">
        <w:instrText>. 122, 2 L.Ed.2d 76 (1957)</w:instrText>
      </w:r>
      <w:r>
        <w:instrText xml:space="preserve">" \s "Green" \c 8 </w:instrText>
      </w:r>
      <w:r>
        <w:fldChar w:fldCharType="end"/>
      </w:r>
      <w:r>
        <w:t>).</w:t>
      </w:r>
    </w:p>
    <w:p w:rsidR="00C779F2" w:rsidRDefault="00C779F2" w:rsidP="005419CC">
      <w:pPr>
        <w:pStyle w:val="BodyTextIndent"/>
        <w:ind w:left="90" w:firstLine="630"/>
        <w:jc w:val="both"/>
      </w:pPr>
      <w:r>
        <w:t xml:space="preserve">This Court interprets Washington’s double jeopardy provision identically to the federal provision.  </w:t>
      </w:r>
      <w:r w:rsidRPr="00D75A50">
        <w:rPr>
          <w:u w:val="single"/>
        </w:rPr>
        <w:t xml:space="preserve">State v. </w:t>
      </w:r>
      <w:proofErr w:type="spellStart"/>
      <w:r w:rsidRPr="00D75A50">
        <w:rPr>
          <w:u w:val="single"/>
        </w:rPr>
        <w:t>Glasmann</w:t>
      </w:r>
      <w:proofErr w:type="spellEnd"/>
      <w:r>
        <w:t>, 183 Wn.2d 117, 121, 349 P.3d 829 (2015)</w:t>
      </w:r>
      <w:r>
        <w:fldChar w:fldCharType="begin"/>
      </w:r>
      <w:r>
        <w:instrText xml:space="preserve"> TA \l "</w:instrText>
      </w:r>
      <w:r w:rsidRPr="00E004C5">
        <w:rPr>
          <w:u w:val="single"/>
        </w:rPr>
        <w:instrText xml:space="preserve">State v. </w:instrText>
      </w:r>
      <w:proofErr w:type="spellStart"/>
      <w:r w:rsidRPr="00E004C5">
        <w:rPr>
          <w:u w:val="single"/>
        </w:rPr>
        <w:instrText>Glasmann</w:instrText>
      </w:r>
      <w:proofErr w:type="spellEnd"/>
      <w:r w:rsidRPr="00E004C5">
        <w:instrText>, 183 Wn.2d 117, 121, 349 P.3d 829 (2015)</w:instrText>
      </w:r>
      <w:r>
        <w:instrText>" \s "</w:instrText>
      </w:r>
      <w:proofErr w:type="spellStart"/>
      <w:r>
        <w:instrText>Glasmann</w:instrText>
      </w:r>
      <w:proofErr w:type="spellEnd"/>
      <w:r>
        <w:instrText xml:space="preserve">" \c 1 </w:instrText>
      </w:r>
      <w:r>
        <w:fldChar w:fldCharType="end"/>
      </w:r>
      <w:r>
        <w:t xml:space="preserve"> (citing </w:t>
      </w:r>
      <w:r w:rsidRPr="000D6A8E">
        <w:rPr>
          <w:u w:val="single"/>
        </w:rPr>
        <w:t xml:space="preserve">State v. </w:t>
      </w:r>
      <w:proofErr w:type="spellStart"/>
      <w:r w:rsidRPr="000D6A8E">
        <w:rPr>
          <w:u w:val="single"/>
        </w:rPr>
        <w:t>Schoel</w:t>
      </w:r>
      <w:proofErr w:type="spellEnd"/>
      <w:r>
        <w:t xml:space="preserve">, 54 </w:t>
      </w:r>
      <w:r>
        <w:lastRenderedPageBreak/>
        <w:t>Wn.2d 388, 391, 341 P.2d 481 (1959)</w:t>
      </w:r>
      <w:r>
        <w:fldChar w:fldCharType="begin"/>
      </w:r>
      <w:r>
        <w:instrText xml:space="preserve"> TA \l "</w:instrText>
      </w:r>
      <w:r w:rsidRPr="001334DB">
        <w:rPr>
          <w:u w:val="single"/>
        </w:rPr>
        <w:instrText xml:space="preserve">State v. </w:instrText>
      </w:r>
      <w:proofErr w:type="spellStart"/>
      <w:r w:rsidRPr="001334DB">
        <w:rPr>
          <w:u w:val="single"/>
        </w:rPr>
        <w:instrText>Schoel</w:instrText>
      </w:r>
      <w:proofErr w:type="spellEnd"/>
      <w:r w:rsidRPr="001334DB">
        <w:instrText>, 54 Wash.2d 388, 391, 341 P.2d 481 (1959)</w:instrText>
      </w:r>
      <w:r>
        <w:instrText>" \s "</w:instrText>
      </w:r>
      <w:proofErr w:type="spellStart"/>
      <w:r>
        <w:instrText>Schoel</w:instrText>
      </w:r>
      <w:proofErr w:type="spellEnd"/>
      <w:r>
        <w:instrText xml:space="preserve">" \c 1 </w:instrText>
      </w:r>
      <w:r>
        <w:fldChar w:fldCharType="end"/>
      </w:r>
      <w:r>
        <w:t xml:space="preserve">).  </w:t>
      </w:r>
    </w:p>
    <w:p w:rsidR="00C779F2" w:rsidRDefault="00C779F2" w:rsidP="005419CC">
      <w:pPr>
        <w:pStyle w:val="BodyTextIndent"/>
        <w:ind w:left="90" w:firstLine="630"/>
        <w:jc w:val="both"/>
      </w:pPr>
      <w:r>
        <w:t xml:space="preserve">In general, this Court will find a double jeopardy violation “where (1) jeopardy has previously attached, (2) that jeopardy has terminated, and (3) the defendant is in jeopardy a second time for the same offense in fact and law.”  </w:t>
      </w:r>
      <w:r w:rsidRPr="000D6A8E">
        <w:rPr>
          <w:u w:val="single"/>
        </w:rPr>
        <w:t>State v. Ervin</w:t>
      </w:r>
      <w:r>
        <w:t>, 158 Wn.2d 746, 752, 147 P.3d 567 (2006)</w:t>
      </w:r>
      <w:r>
        <w:fldChar w:fldCharType="begin"/>
      </w:r>
      <w:r>
        <w:instrText xml:space="preserve"> TA \l "</w:instrText>
      </w:r>
      <w:r w:rsidRPr="00ED1B4E">
        <w:rPr>
          <w:u w:val="single"/>
        </w:rPr>
        <w:instrText>State v. Ervin</w:instrText>
      </w:r>
      <w:r w:rsidRPr="00ED1B4E">
        <w:instrText>, 158 Wn.2d 746, 752, 147 P.3d 567 (2006)</w:instrText>
      </w:r>
      <w:r>
        <w:instrText xml:space="preserve">" \s "Ervin" \c 1 </w:instrText>
      </w:r>
      <w:r>
        <w:fldChar w:fldCharType="end"/>
      </w:r>
      <w:r>
        <w:t>.</w:t>
      </w:r>
    </w:p>
    <w:p w:rsidR="00C779F2" w:rsidRDefault="00C779F2" w:rsidP="0029519E">
      <w:pPr>
        <w:pStyle w:val="BodyTextIndent"/>
        <w:ind w:left="90" w:firstLine="630"/>
        <w:jc w:val="both"/>
      </w:pPr>
      <w:r w:rsidRPr="00F32BEF">
        <w:t>“[I]t has long been settled under the Fifth Amendment that a verdict of acquitt</w:t>
      </w:r>
      <w:r>
        <w:t>al is final, ending a defendant’</w:t>
      </w:r>
      <w:r w:rsidRPr="00F32BEF">
        <w:t xml:space="preserve">s jeopardy.” </w:t>
      </w:r>
      <w:r>
        <w:t xml:space="preserve"> </w:t>
      </w:r>
      <w:r w:rsidRPr="00F32BEF">
        <w:rPr>
          <w:u w:val="single"/>
        </w:rPr>
        <w:t>G</w:t>
      </w:r>
      <w:r>
        <w:rPr>
          <w:u w:val="single"/>
        </w:rPr>
        <w:t>reen</w:t>
      </w:r>
      <w:r>
        <w:rPr>
          <w:u w:val="single"/>
        </w:rPr>
        <w:fldChar w:fldCharType="begin"/>
      </w:r>
      <w:r>
        <w:rPr>
          <w:u w:val="single"/>
        </w:rPr>
        <w:instrText xml:space="preserve"> TA \s "Green" </w:instrText>
      </w:r>
      <w:r>
        <w:rPr>
          <w:u w:val="single"/>
        </w:rPr>
        <w:fldChar w:fldCharType="end"/>
      </w:r>
      <w:r w:rsidRPr="00F32BEF">
        <w:t xml:space="preserve">, </w:t>
      </w:r>
      <w:bookmarkStart w:id="5" w:name="_Hlk520792332"/>
      <w:r w:rsidRPr="00F32BEF">
        <w:t xml:space="preserve">355 U.S. </w:t>
      </w:r>
      <w:bookmarkEnd w:id="5"/>
      <w:r>
        <w:t xml:space="preserve">at </w:t>
      </w:r>
      <w:r w:rsidRPr="00F32BEF">
        <w:t xml:space="preserve">188. </w:t>
      </w:r>
      <w:r>
        <w:t xml:space="preserve"> </w:t>
      </w:r>
    </w:p>
    <w:p w:rsidR="00C779F2" w:rsidRDefault="00C779F2" w:rsidP="0029519E">
      <w:pPr>
        <w:pStyle w:val="BodyTextIndent"/>
        <w:ind w:left="90" w:firstLine="630"/>
        <w:jc w:val="both"/>
      </w:pPr>
      <w:r>
        <w:t xml:space="preserve">But, according to </w:t>
      </w:r>
      <w:r>
        <w:rPr>
          <w:u w:val="single"/>
        </w:rPr>
        <w:t>Green</w:t>
      </w:r>
      <w:r>
        <w:t>, a jury’s</w:t>
      </w:r>
      <w:r w:rsidRPr="00F32BEF">
        <w:t xml:space="preserve"> silence can also </w:t>
      </w:r>
      <w:r>
        <w:t>terminate</w:t>
      </w:r>
      <w:r w:rsidRPr="00F32BEF">
        <w:t xml:space="preserve"> jeopardy</w:t>
      </w:r>
      <w:r>
        <w:t xml:space="preserve">.  The Court identified two ways this might occur.  First, when a jury finds a defendant guilty of a lesser charge and remains silent on a greater charge, in the event of a successful appeal, the defendant cannot be retried on the greater charge.  Silence on the greater charge has sometimes been referred to as an “implicit acquittal.”  </w:t>
      </w:r>
      <w:r>
        <w:rPr>
          <w:u w:val="single"/>
        </w:rPr>
        <w:t>Id</w:t>
      </w:r>
      <w:r>
        <w:t xml:space="preserve">. at 190.  </w:t>
      </w:r>
    </w:p>
    <w:p w:rsidR="00C779F2" w:rsidRDefault="00C779F2" w:rsidP="0029519E">
      <w:pPr>
        <w:pStyle w:val="BodyTextIndent"/>
        <w:ind w:left="90" w:firstLine="630"/>
        <w:jc w:val="both"/>
      </w:pPr>
      <w:r>
        <w:t xml:space="preserve">But, under </w:t>
      </w:r>
      <w:r w:rsidRPr="00A70BA8">
        <w:rPr>
          <w:u w:val="single"/>
        </w:rPr>
        <w:t>Green</w:t>
      </w:r>
      <w:r>
        <w:rPr>
          <w:u w:val="single"/>
        </w:rPr>
        <w:fldChar w:fldCharType="begin"/>
      </w:r>
      <w:r>
        <w:rPr>
          <w:u w:val="single"/>
        </w:rPr>
        <w:instrText xml:space="preserve"> TA \s "Green" </w:instrText>
      </w:r>
      <w:r>
        <w:rPr>
          <w:u w:val="single"/>
        </w:rPr>
        <w:fldChar w:fldCharType="end"/>
      </w:r>
      <w:r>
        <w:t xml:space="preserve">, </w:t>
      </w:r>
      <w:r w:rsidRPr="00A70BA8">
        <w:t>discharge</w:t>
      </w:r>
      <w:r>
        <w:t xml:space="preserve"> of the jury in the absence of a verdict may also terminate jeopardy.  </w:t>
      </w:r>
      <w:r w:rsidRPr="00D1087D">
        <w:rPr>
          <w:u w:val="single"/>
        </w:rPr>
        <w:t>Id</w:t>
      </w:r>
      <w:r>
        <w:t xml:space="preserve">. at 190-91.  It is sufficient for double jeopardy purposes that the jury was “given a full opportunity to return a verdict and no extraordinary circumstances </w:t>
      </w:r>
      <w:r>
        <w:lastRenderedPageBreak/>
        <w:t xml:space="preserve">appeared which prevented it from doing so.”  </w:t>
      </w:r>
      <w:r w:rsidRPr="00D1087D">
        <w:rPr>
          <w:u w:val="single"/>
        </w:rPr>
        <w:t>Id</w:t>
      </w:r>
      <w:r>
        <w:t xml:space="preserve">. at 191.  Otherwise, where the jury is dismissed, jeopardy terminates.  </w:t>
      </w:r>
      <w:r>
        <w:rPr>
          <w:u w:val="single"/>
        </w:rPr>
        <w:t>Id</w:t>
      </w:r>
      <w:r>
        <w:t xml:space="preserve">.  </w:t>
      </w:r>
      <w:r w:rsidRPr="00180A7C">
        <w:t xml:space="preserve">(citing </w:t>
      </w:r>
      <w:r w:rsidRPr="00180A7C">
        <w:rPr>
          <w:u w:val="single"/>
        </w:rPr>
        <w:t>Wade v. Hunter</w:t>
      </w:r>
      <w:r w:rsidRPr="00180A7C">
        <w:t>, 336 U.S. 684, 69 S.</w:t>
      </w:r>
      <w:r>
        <w:t xml:space="preserve"> </w:t>
      </w:r>
      <w:r w:rsidRPr="00180A7C">
        <w:t>Ct. 834, 93 L.</w:t>
      </w:r>
      <w:r>
        <w:t xml:space="preserve"> </w:t>
      </w:r>
      <w:r w:rsidRPr="00180A7C">
        <w:t>Ed. 974 (1949)</w:t>
      </w:r>
      <w:r>
        <w:fldChar w:fldCharType="begin"/>
      </w:r>
      <w:r>
        <w:instrText xml:space="preserve"> TA \l "</w:instrText>
      </w:r>
      <w:r w:rsidRPr="00175938">
        <w:rPr>
          <w:u w:val="single"/>
        </w:rPr>
        <w:instrText>Wade v. Hunter</w:instrText>
      </w:r>
      <w:r w:rsidRPr="00175938">
        <w:instrText>, 336 U.S. 684, 69 S. Ct. 834, 93 L. Ed. 974 (1949)</w:instrText>
      </w:r>
      <w:r>
        <w:instrText xml:space="preserve">" \s "Wade" \c 8 </w:instrText>
      </w:r>
      <w:r>
        <w:fldChar w:fldCharType="end"/>
      </w:r>
      <w:r w:rsidRPr="00180A7C">
        <w:t xml:space="preserve"> (holding retrial is permissible </w:t>
      </w:r>
      <w:r>
        <w:t xml:space="preserve">under </w:t>
      </w:r>
      <w:r w:rsidRPr="00180A7C">
        <w:t>only wher</w:t>
      </w:r>
      <w:r>
        <w:t>e a manifest necessity exists)).  Absent a finding of manifest necessity,</w:t>
      </w:r>
      <w:r>
        <w:rPr>
          <w:rStyle w:val="FootnoteReference"/>
        </w:rPr>
        <w:footnoteReference w:id="3"/>
      </w:r>
      <w:r>
        <w:t xml:space="preserve"> a jury’s silence is “treated no differently” than an acquittal, insofar as it terminates the state’s single opportunity to obtain a conviction on the charge.  </w:t>
      </w:r>
      <w:r w:rsidRPr="00CA1276">
        <w:rPr>
          <w:u w:val="single"/>
        </w:rPr>
        <w:t>Green</w:t>
      </w:r>
      <w:r>
        <w:t xml:space="preserve">, 355 U.S. at 191; </w:t>
      </w:r>
      <w:r w:rsidRPr="00FB57CC">
        <w:rPr>
          <w:u w:val="single"/>
        </w:rPr>
        <w:t>accord</w:t>
      </w:r>
      <w:r>
        <w:t xml:space="preserve"> </w:t>
      </w:r>
      <w:r w:rsidRPr="00FB57CC">
        <w:rPr>
          <w:u w:val="single"/>
        </w:rPr>
        <w:t>Price v. Georgia</w:t>
      </w:r>
      <w:r>
        <w:t>, 398 U.S. 323, 328-29, 90 S. Ct. 1757, 26 L. Ed. 2d 300 (1970)</w:t>
      </w:r>
      <w:r>
        <w:fldChar w:fldCharType="begin"/>
      </w:r>
      <w:r>
        <w:instrText xml:space="preserve"> TA \l "</w:instrText>
      </w:r>
      <w:r w:rsidRPr="003F5035">
        <w:rPr>
          <w:u w:val="single"/>
        </w:rPr>
        <w:instrText>Price v. Georgia</w:instrText>
      </w:r>
      <w:r w:rsidRPr="003F5035">
        <w:instrText>, 398 U.S. 323, 328-29, 90 S. Ct. 1757, 26 L. Ed. 2d 300 (1970)</w:instrText>
      </w:r>
      <w:r>
        <w:instrText xml:space="preserve">" \s "Price" \c 8 </w:instrText>
      </w:r>
      <w:r>
        <w:fldChar w:fldCharType="end"/>
      </w:r>
      <w:r>
        <w:t xml:space="preserve">.  </w:t>
      </w:r>
    </w:p>
    <w:p w:rsidR="00C779F2" w:rsidRPr="00D1087D" w:rsidRDefault="00C779F2" w:rsidP="00D1087D">
      <w:pPr>
        <w:pStyle w:val="BodyTextIndent"/>
        <w:ind w:left="90" w:firstLine="630"/>
        <w:jc w:val="both"/>
      </w:pPr>
      <w:proofErr w:type="spellStart"/>
      <w:r w:rsidRPr="0091754A">
        <w:rPr>
          <w:u w:val="single"/>
        </w:rPr>
        <w:t>Brazzel</w:t>
      </w:r>
      <w:proofErr w:type="spellEnd"/>
      <w:r w:rsidRPr="0091754A">
        <w:rPr>
          <w:u w:val="single"/>
        </w:rPr>
        <w:t xml:space="preserve"> v. Washington</w:t>
      </w:r>
      <w:r>
        <w:t>, 491 F.3d 976 (9th Cir.2007)</w:t>
      </w:r>
      <w:r>
        <w:fldChar w:fldCharType="begin"/>
      </w:r>
      <w:r>
        <w:instrText xml:space="preserve"> TA \l "</w:instrText>
      </w:r>
      <w:proofErr w:type="spellStart"/>
      <w:r w:rsidRPr="00B974C3">
        <w:rPr>
          <w:u w:val="single"/>
        </w:rPr>
        <w:instrText>Brazzel</w:instrText>
      </w:r>
      <w:proofErr w:type="spellEnd"/>
      <w:r w:rsidRPr="00B974C3">
        <w:rPr>
          <w:u w:val="single"/>
        </w:rPr>
        <w:instrText xml:space="preserve"> v. Washington</w:instrText>
      </w:r>
      <w:r w:rsidRPr="00B974C3">
        <w:instrText>, 491 F.3d 976 (9th Cir.2007)</w:instrText>
      </w:r>
      <w:r>
        <w:instrText>" \s "</w:instrText>
      </w:r>
      <w:proofErr w:type="spellStart"/>
      <w:r>
        <w:instrText>Brazzel</w:instrText>
      </w:r>
      <w:proofErr w:type="spellEnd"/>
      <w:r>
        <w:instrText xml:space="preserve">" \c 8 </w:instrText>
      </w:r>
      <w:r>
        <w:fldChar w:fldCharType="end"/>
      </w:r>
      <w:r>
        <w:t xml:space="preserve"> is instructive, particularly under the circumstances present in this case.  There, Ernest </w:t>
      </w:r>
      <w:proofErr w:type="spellStart"/>
      <w:r>
        <w:t>Brazzel</w:t>
      </w:r>
      <w:proofErr w:type="spellEnd"/>
      <w:r>
        <w:t xml:space="preserve"> was charged in a Washington state court with three counts related to assault of his girlfriend.  Count I alleged attempted </w:t>
      </w:r>
      <w:proofErr w:type="gramStart"/>
      <w:r>
        <w:t>first degree</w:t>
      </w:r>
      <w:proofErr w:type="gramEnd"/>
      <w:r>
        <w:t xml:space="preserve"> murder or, in the alternative, first degree assault, committed </w:t>
      </w:r>
      <w:r>
        <w:lastRenderedPageBreak/>
        <w:t xml:space="preserve">between May 10 and May 16, 1998. Counts II and III each alleged </w:t>
      </w:r>
      <w:proofErr w:type="gramStart"/>
      <w:r>
        <w:t>second degree</w:t>
      </w:r>
      <w:proofErr w:type="gramEnd"/>
      <w:r>
        <w:t xml:space="preserve"> assault committed on different dates.  </w:t>
      </w:r>
      <w:r>
        <w:rPr>
          <w:u w:val="single"/>
        </w:rPr>
        <w:t>Id</w:t>
      </w:r>
      <w:r>
        <w:t>. at 979.</w:t>
      </w:r>
    </w:p>
    <w:p w:rsidR="00C779F2" w:rsidRPr="00E96008" w:rsidRDefault="00C779F2" w:rsidP="00D1087D">
      <w:pPr>
        <w:pStyle w:val="BodyTextIndent"/>
        <w:ind w:left="90" w:firstLine="630"/>
        <w:jc w:val="both"/>
      </w:pPr>
      <w:r>
        <w:t xml:space="preserve">The jury convicted </w:t>
      </w:r>
      <w:proofErr w:type="spellStart"/>
      <w:r>
        <w:t>Brazzel</w:t>
      </w:r>
      <w:proofErr w:type="spellEnd"/>
      <w:r>
        <w:fldChar w:fldCharType="begin"/>
      </w:r>
      <w:r>
        <w:instrText xml:space="preserve"> TA \s "</w:instrText>
      </w:r>
      <w:proofErr w:type="spellStart"/>
      <w:r>
        <w:instrText>Brazzel</w:instrText>
      </w:r>
      <w:proofErr w:type="spellEnd"/>
      <w:r>
        <w:instrText xml:space="preserve">" </w:instrText>
      </w:r>
      <w:r>
        <w:fldChar w:fldCharType="end"/>
      </w:r>
      <w:r>
        <w:t xml:space="preserve"> of </w:t>
      </w:r>
      <w:proofErr w:type="gramStart"/>
      <w:r>
        <w:t>first degree</w:t>
      </w:r>
      <w:proofErr w:type="gramEnd"/>
      <w:r>
        <w:t xml:space="preserve"> assault on Count I, leaving the first degree attempted murder verdict form blank.  During the polling of the jury, the jurors did not claim to be hung or announce any splits or divisions.  The prosecutor did not request that the jury be declared deadlocked as to the attempted murder count.  The trial court discharged the jury, taking as final the convictions on the assault counts, and sentenced </w:t>
      </w:r>
      <w:proofErr w:type="spellStart"/>
      <w:r>
        <w:t>Brazzel</w:t>
      </w:r>
      <w:proofErr w:type="spellEnd"/>
      <w:r>
        <w:t xml:space="preserve"> to a lengthy prison sentence.  </w:t>
      </w:r>
      <w:r>
        <w:rPr>
          <w:u w:val="single"/>
        </w:rPr>
        <w:t>Id</w:t>
      </w:r>
      <w:r>
        <w:t>.</w:t>
      </w:r>
    </w:p>
    <w:p w:rsidR="00C779F2" w:rsidRPr="00E96008" w:rsidRDefault="00C779F2" w:rsidP="00D1087D">
      <w:pPr>
        <w:pStyle w:val="BodyTextIndent"/>
        <w:ind w:left="90" w:firstLine="630"/>
        <w:jc w:val="both"/>
      </w:pPr>
      <w:proofErr w:type="spellStart"/>
      <w:r>
        <w:t>Brazzel</w:t>
      </w:r>
      <w:proofErr w:type="spellEnd"/>
      <w:r>
        <w:fldChar w:fldCharType="begin"/>
      </w:r>
      <w:r>
        <w:instrText xml:space="preserve"> TA \s "</w:instrText>
      </w:r>
      <w:proofErr w:type="spellStart"/>
      <w:r>
        <w:instrText>Brazzel</w:instrText>
      </w:r>
      <w:proofErr w:type="spellEnd"/>
      <w:r>
        <w:instrText xml:space="preserve">" </w:instrText>
      </w:r>
      <w:r>
        <w:fldChar w:fldCharType="end"/>
      </w:r>
      <w:r>
        <w:t xml:space="preserve"> appealed, and his convictions were ultimately reversed based on instructional error.  The State refiled the same alternative charges as the original Count I, including attempted </w:t>
      </w:r>
      <w:proofErr w:type="gramStart"/>
      <w:r>
        <w:t>first degree</w:t>
      </w:r>
      <w:proofErr w:type="gramEnd"/>
      <w:r>
        <w:t xml:space="preserve"> murder.  In the trial court, </w:t>
      </w:r>
      <w:proofErr w:type="spellStart"/>
      <w:r>
        <w:t>Brazzel</w:t>
      </w:r>
      <w:proofErr w:type="spellEnd"/>
      <w:r>
        <w:t xml:space="preserve"> then argued that double jeopardy prohibited retrial on attempted first degree murder.  The prosecutor argued the jury did not acquit </w:t>
      </w:r>
      <w:proofErr w:type="spellStart"/>
      <w:r>
        <w:t>Brazzel</w:t>
      </w:r>
      <w:proofErr w:type="spellEnd"/>
      <w:r>
        <w:t xml:space="preserve"> of that charge; rather, based on the “unable to agree” language of the instructions, the jury had deadlocked on the greater charge.  </w:t>
      </w:r>
      <w:r>
        <w:rPr>
          <w:u w:val="single"/>
        </w:rPr>
        <w:t>Id</w:t>
      </w:r>
      <w:r w:rsidRPr="00A70BA8">
        <w:t>.</w:t>
      </w:r>
      <w:r>
        <w:t xml:space="preserve"> at 979-80.  The trial court agreed with the prosecutor.  </w:t>
      </w:r>
      <w:r>
        <w:rPr>
          <w:u w:val="single"/>
        </w:rPr>
        <w:t>Id</w:t>
      </w:r>
      <w:r>
        <w:t>. at 980.</w:t>
      </w:r>
    </w:p>
    <w:p w:rsidR="00C779F2" w:rsidRDefault="00C779F2" w:rsidP="005419CC">
      <w:pPr>
        <w:pStyle w:val="BodyTextIndent"/>
        <w:ind w:left="90" w:firstLine="630"/>
        <w:jc w:val="both"/>
      </w:pPr>
      <w:r>
        <w:lastRenderedPageBreak/>
        <w:t>The</w:t>
      </w:r>
      <w:r w:rsidRPr="0091754A">
        <w:t xml:space="preserve"> Ninth Circuit </w:t>
      </w:r>
      <w:r>
        <w:t>reversed,</w:t>
      </w:r>
      <w:r>
        <w:rPr>
          <w:rStyle w:val="FootnoteReference"/>
        </w:rPr>
        <w:footnoteReference w:id="4"/>
      </w:r>
      <w:r>
        <w:t xml:space="preserve"> however, holding that retrial on attempted murder was prohibited</w:t>
      </w:r>
      <w:r w:rsidRPr="0091754A">
        <w:t xml:space="preserve">. </w:t>
      </w:r>
      <w:r>
        <w:t xml:space="preserve"> </w:t>
      </w:r>
      <w:r w:rsidRPr="00C57B1A">
        <w:rPr>
          <w:u w:val="single"/>
        </w:rPr>
        <w:t>Id</w:t>
      </w:r>
      <w:r>
        <w:t xml:space="preserve">. </w:t>
      </w:r>
      <w:r w:rsidRPr="00C57B1A">
        <w:t>at</w:t>
      </w:r>
      <w:r>
        <w:t xml:space="preserve"> 981-</w:t>
      </w:r>
      <w:r w:rsidRPr="0091754A">
        <w:t>85.</w:t>
      </w:r>
      <w:r>
        <w:t xml:space="preserve">  </w:t>
      </w:r>
    </w:p>
    <w:p w:rsidR="00C779F2" w:rsidRDefault="00C779F2" w:rsidP="005419CC">
      <w:pPr>
        <w:pStyle w:val="BodyTextIndent"/>
        <w:ind w:left="90" w:firstLine="630"/>
        <w:jc w:val="both"/>
      </w:pPr>
      <w:r>
        <w:t xml:space="preserve">The court explained that, in contrast to cases of express or implied acquittal, retrial </w:t>
      </w:r>
      <w:r w:rsidRPr="00EB42FB">
        <w:rPr>
          <w:i/>
        </w:rPr>
        <w:t>is</w:t>
      </w:r>
      <w:r>
        <w:t xml:space="preserve"> permitted where a mistrial is declared due to the “‘manifest necessity’” presented by a hung jury.  </w:t>
      </w:r>
      <w:r>
        <w:rPr>
          <w:u w:val="single"/>
        </w:rPr>
        <w:t>Id</w:t>
      </w:r>
      <w:r>
        <w:t xml:space="preserve">. at 982 (quoting </w:t>
      </w:r>
      <w:r w:rsidRPr="003B31D7">
        <w:rPr>
          <w:u w:val="single"/>
        </w:rPr>
        <w:t>United States v. Perez</w:t>
      </w:r>
      <w:r>
        <w:t>, 22 U.S. (9 Wheat.) 579, 580, 6 L. Ed. 165 (1824)</w:t>
      </w:r>
      <w:r>
        <w:fldChar w:fldCharType="begin"/>
      </w:r>
      <w:r>
        <w:instrText xml:space="preserve"> TA \l "</w:instrText>
      </w:r>
      <w:r w:rsidRPr="000F175B">
        <w:rPr>
          <w:u w:val="single"/>
        </w:rPr>
        <w:instrText>United States v. Perez</w:instrText>
      </w:r>
      <w:r w:rsidRPr="000F175B">
        <w:instrText>, 22 U.S. (9 Wheat.) 579, 580, 6 L. Ed. 165 (1824)</w:instrText>
      </w:r>
      <w:r>
        <w:instrText xml:space="preserve">" \s "Perez" \c 8 </w:instrText>
      </w:r>
      <w:r>
        <w:fldChar w:fldCharType="end"/>
      </w:r>
      <w:r>
        <w:t xml:space="preserve">).  A hung jury occurs when there is an irreconcilable disagreement among the jury members.  </w:t>
      </w:r>
      <w:proofErr w:type="spellStart"/>
      <w:r>
        <w:rPr>
          <w:u w:val="single"/>
        </w:rPr>
        <w:t>Brazzel</w:t>
      </w:r>
      <w:proofErr w:type="spellEnd"/>
      <w:r>
        <w:rPr>
          <w:u w:val="single"/>
        </w:rPr>
        <w:fldChar w:fldCharType="begin"/>
      </w:r>
      <w:r>
        <w:rPr>
          <w:u w:val="single"/>
        </w:rPr>
        <w:instrText xml:space="preserve"> TA \s "</w:instrText>
      </w:r>
      <w:proofErr w:type="spellStart"/>
      <w:r>
        <w:rPr>
          <w:u w:val="single"/>
        </w:rPr>
        <w:instrText>Brazzel</w:instrText>
      </w:r>
      <w:proofErr w:type="spellEnd"/>
      <w:r>
        <w:rPr>
          <w:u w:val="single"/>
        </w:rPr>
        <w:instrText xml:space="preserve">" </w:instrText>
      </w:r>
      <w:r>
        <w:rPr>
          <w:u w:val="single"/>
        </w:rPr>
        <w:fldChar w:fldCharType="end"/>
      </w:r>
      <w:r>
        <w:t>, 491 F.3d at 982.</w:t>
      </w:r>
    </w:p>
    <w:p w:rsidR="00C779F2" w:rsidRDefault="00C779F2" w:rsidP="006838D6">
      <w:pPr>
        <w:pStyle w:val="BodyTextIndent"/>
        <w:ind w:left="90" w:firstLine="630"/>
        <w:jc w:val="both"/>
      </w:pPr>
      <w:r>
        <w:t xml:space="preserve">But a “‘high degree” of necessity is required to establish a mistrial due to jury deadlock.  </w:t>
      </w:r>
      <w:r w:rsidRPr="00851540">
        <w:rPr>
          <w:u w:val="single"/>
        </w:rPr>
        <w:t>Id</w:t>
      </w:r>
      <w:r>
        <w:t xml:space="preserve">. (quoting </w:t>
      </w:r>
      <w:r w:rsidRPr="003B31D7">
        <w:rPr>
          <w:u w:val="single"/>
        </w:rPr>
        <w:t>Arizona v. Washington</w:t>
      </w:r>
      <w:r>
        <w:fldChar w:fldCharType="begin"/>
      </w:r>
      <w:r>
        <w:instrText xml:space="preserve"> TA \s "Arizona v. Washington" </w:instrText>
      </w:r>
      <w:r>
        <w:fldChar w:fldCharType="end"/>
      </w:r>
      <w:r>
        <w:t>, 434 U.S. 497, 506</w:t>
      </w:r>
      <w:r w:rsidRPr="00CA1276">
        <w:t>, 98 S. Ct. 824, 54 L. Ed.  717 (1978</w:t>
      </w:r>
      <w:r>
        <w:t xml:space="preserve">)).  The record must reflect that the jury is “genuinely deadlocked.” </w:t>
      </w:r>
      <w:proofErr w:type="spellStart"/>
      <w:r>
        <w:rPr>
          <w:u w:val="single"/>
        </w:rPr>
        <w:t>Brazzel</w:t>
      </w:r>
      <w:proofErr w:type="spellEnd"/>
      <w:r>
        <w:rPr>
          <w:u w:val="single"/>
        </w:rPr>
        <w:fldChar w:fldCharType="begin"/>
      </w:r>
      <w:r>
        <w:rPr>
          <w:u w:val="single"/>
        </w:rPr>
        <w:instrText xml:space="preserve"> TA \s "</w:instrText>
      </w:r>
      <w:proofErr w:type="spellStart"/>
      <w:r>
        <w:rPr>
          <w:u w:val="single"/>
        </w:rPr>
        <w:instrText>Brazzel</w:instrText>
      </w:r>
      <w:proofErr w:type="spellEnd"/>
      <w:r>
        <w:rPr>
          <w:u w:val="single"/>
        </w:rPr>
        <w:instrText xml:space="preserve">" </w:instrText>
      </w:r>
      <w:r>
        <w:rPr>
          <w:u w:val="single"/>
        </w:rPr>
        <w:fldChar w:fldCharType="end"/>
      </w:r>
      <w:r>
        <w:t xml:space="preserve">, 491 F.3d at 982 (citing </w:t>
      </w:r>
      <w:r w:rsidRPr="003B31D7">
        <w:rPr>
          <w:u w:val="single"/>
        </w:rPr>
        <w:t>Richardson v. United States</w:t>
      </w:r>
      <w:r>
        <w:t>, 468 U.S. 317, 324-25, 104 S. Ct. 3081, 82 L. Ed. 2d 242 (1984)</w:t>
      </w:r>
      <w:r>
        <w:fldChar w:fldCharType="begin"/>
      </w:r>
      <w:r>
        <w:instrText xml:space="preserve"> TA \l "</w:instrText>
      </w:r>
      <w:r w:rsidRPr="007E1534">
        <w:rPr>
          <w:u w:val="single"/>
        </w:rPr>
        <w:instrText>Richardson v. United States</w:instrText>
      </w:r>
      <w:r w:rsidRPr="007E1534">
        <w:instrText>, 468 U.S. 317, 324-25, 104 S. Ct. 3081, 82 L. Ed. 2d 242 (1984)</w:instrText>
      </w:r>
      <w:r>
        <w:instrText xml:space="preserve">" \s "Richardson" \c 8 </w:instrText>
      </w:r>
      <w:r>
        <w:fldChar w:fldCharType="end"/>
      </w:r>
      <w:r>
        <w:t xml:space="preserve"> (explaining that when a jury </w:t>
      </w:r>
      <w:r>
        <w:lastRenderedPageBreak/>
        <w:t xml:space="preserve">is genuinely deadlocked, the trial judge may declare a mistrial and require the defendant to submit to a second trial); </w:t>
      </w:r>
      <w:proofErr w:type="spellStart"/>
      <w:r w:rsidRPr="003B31D7">
        <w:rPr>
          <w:u w:val="single"/>
        </w:rPr>
        <w:t>Selvester</w:t>
      </w:r>
      <w:proofErr w:type="spellEnd"/>
      <w:r w:rsidRPr="003B31D7">
        <w:rPr>
          <w:u w:val="single"/>
        </w:rPr>
        <w:t xml:space="preserve"> v. United States</w:t>
      </w:r>
      <w:r>
        <w:t>, 170 U.S. 262, 270</w:t>
      </w:r>
      <w:r w:rsidRPr="003B31D7">
        <w:t>, 18 S.</w:t>
      </w:r>
      <w:r>
        <w:t xml:space="preserve"> </w:t>
      </w:r>
      <w:r w:rsidRPr="003B31D7">
        <w:t>Ct. 580, 42 L.</w:t>
      </w:r>
      <w:r>
        <w:t xml:space="preserve"> </w:t>
      </w:r>
      <w:r w:rsidRPr="003B31D7">
        <w:t>Ed. 1029 (1898)</w:t>
      </w:r>
      <w:r>
        <w:fldChar w:fldCharType="begin"/>
      </w:r>
      <w:r>
        <w:instrText xml:space="preserve"> TA \l "</w:instrText>
      </w:r>
      <w:proofErr w:type="spellStart"/>
      <w:r w:rsidRPr="00160358">
        <w:rPr>
          <w:u w:val="single"/>
        </w:rPr>
        <w:instrText>Selvester</w:instrText>
      </w:r>
      <w:proofErr w:type="spellEnd"/>
      <w:r w:rsidRPr="00160358">
        <w:rPr>
          <w:u w:val="single"/>
        </w:rPr>
        <w:instrText xml:space="preserve"> v. United States</w:instrText>
      </w:r>
      <w:r w:rsidRPr="00160358">
        <w:instrText>, 170 U.S. 262, 270, 18 S. Ct. 580, 42 L. Ed. 1029 (1898)</w:instrText>
      </w:r>
      <w:r>
        <w:instrText>" \s "</w:instrText>
      </w:r>
      <w:proofErr w:type="spellStart"/>
      <w:r>
        <w:instrText>Selvester</w:instrText>
      </w:r>
      <w:proofErr w:type="spellEnd"/>
      <w:r>
        <w:instrText xml:space="preserve">" \c 8 </w:instrText>
      </w:r>
      <w:r>
        <w:fldChar w:fldCharType="end"/>
      </w:r>
      <w:r w:rsidRPr="003B31D7">
        <w:t xml:space="preserve"> </w:t>
      </w:r>
      <w:r>
        <w:t>(“But if, on the other hand, after the case had been submitted to the jury they reported their inability to agree, and the court made record of it and discharged them, such discharge would not be equivalent to an acquittal, since it would not bar the further prosecution.”)).</w:t>
      </w:r>
    </w:p>
    <w:p w:rsidR="00C779F2" w:rsidRPr="00AA25BF" w:rsidRDefault="00C779F2" w:rsidP="006838D6">
      <w:pPr>
        <w:pStyle w:val="BodyTextIndent"/>
        <w:ind w:left="90" w:firstLine="630"/>
        <w:jc w:val="both"/>
      </w:pPr>
      <w:r w:rsidRPr="00AA25BF">
        <w:t xml:space="preserve">Thomas acknowledges that, </w:t>
      </w:r>
      <w:r>
        <w:t xml:space="preserve">unlike the </w:t>
      </w:r>
      <w:proofErr w:type="spellStart"/>
      <w:r>
        <w:rPr>
          <w:u w:val="single"/>
        </w:rPr>
        <w:t>Brazzel</w:t>
      </w:r>
      <w:proofErr w:type="spellEnd"/>
      <w:r>
        <w:rPr>
          <w:u w:val="single"/>
        </w:rPr>
        <w:fldChar w:fldCharType="begin"/>
      </w:r>
      <w:r>
        <w:rPr>
          <w:u w:val="single"/>
        </w:rPr>
        <w:instrText xml:space="preserve"> TA \s "</w:instrText>
      </w:r>
      <w:proofErr w:type="spellStart"/>
      <w:r>
        <w:rPr>
          <w:u w:val="single"/>
        </w:rPr>
        <w:instrText>Brazzel</w:instrText>
      </w:r>
      <w:proofErr w:type="spellEnd"/>
      <w:r>
        <w:rPr>
          <w:u w:val="single"/>
        </w:rPr>
        <w:instrText xml:space="preserve">" </w:instrText>
      </w:r>
      <w:r>
        <w:rPr>
          <w:u w:val="single"/>
        </w:rPr>
        <w:fldChar w:fldCharType="end"/>
      </w:r>
      <w:r>
        <w:t xml:space="preserve"> court</w:t>
      </w:r>
      <w:r w:rsidRPr="00AA25BF">
        <w:t>, this Court has held that where the State charges a person with greater and lesser offenses</w:t>
      </w:r>
      <w:r>
        <w:t>,</w:t>
      </w:r>
      <w:r w:rsidRPr="00AA25BF">
        <w:t xml:space="preserve"> and the jury is unable to agree regarding the greater offense, the State may retry the defendant for the greater offense without violating double jeopardy.  </w:t>
      </w:r>
      <w:proofErr w:type="spellStart"/>
      <w:r w:rsidRPr="00AA25BF">
        <w:rPr>
          <w:u w:val="single"/>
        </w:rPr>
        <w:t>Glasmann</w:t>
      </w:r>
      <w:proofErr w:type="spellEnd"/>
      <w:r>
        <w:rPr>
          <w:u w:val="single"/>
        </w:rPr>
        <w:fldChar w:fldCharType="begin"/>
      </w:r>
      <w:r>
        <w:rPr>
          <w:u w:val="single"/>
        </w:rPr>
        <w:instrText xml:space="preserve"> TA \s "</w:instrText>
      </w:r>
      <w:proofErr w:type="spellStart"/>
      <w:r>
        <w:rPr>
          <w:u w:val="single"/>
        </w:rPr>
        <w:instrText>Glasmann</w:instrText>
      </w:r>
      <w:proofErr w:type="spellEnd"/>
      <w:r>
        <w:rPr>
          <w:u w:val="single"/>
        </w:rPr>
        <w:instrText xml:space="preserve">" </w:instrText>
      </w:r>
      <w:r>
        <w:rPr>
          <w:u w:val="single"/>
        </w:rPr>
        <w:fldChar w:fldCharType="end"/>
      </w:r>
      <w:r w:rsidRPr="00AA25BF">
        <w:t xml:space="preserve">, 183 Wn.2d 117 (citing </w:t>
      </w:r>
      <w:r w:rsidRPr="00AA25BF">
        <w:rPr>
          <w:u w:val="single"/>
        </w:rPr>
        <w:t>State v. Daniels</w:t>
      </w:r>
      <w:r w:rsidRPr="00AA25BF">
        <w:t>, 160 W.2d 256, 265, 156 P.3d 905 (2007) (</w:t>
      </w:r>
      <w:r w:rsidRPr="00AA25BF">
        <w:rPr>
          <w:u w:val="single"/>
        </w:rPr>
        <w:t>Daniels I</w:t>
      </w:r>
      <w:r w:rsidRPr="00AA25BF">
        <w:t xml:space="preserve"> )</w:t>
      </w:r>
      <w:r>
        <w:fldChar w:fldCharType="begin"/>
      </w:r>
      <w:r>
        <w:instrText xml:space="preserve"> TA \l "</w:instrText>
      </w:r>
      <w:r w:rsidRPr="004D08B4">
        <w:rPr>
          <w:u w:val="single"/>
        </w:rPr>
        <w:instrText>State v. Daniels</w:instrText>
      </w:r>
      <w:r w:rsidRPr="004D08B4">
        <w:instrText>, 160 W.2d 256, 265, 156 P.3d 905 (2007) (</w:instrText>
      </w:r>
      <w:r w:rsidRPr="004D08B4">
        <w:rPr>
          <w:u w:val="single"/>
        </w:rPr>
        <w:instrText>Daniels I</w:instrText>
      </w:r>
      <w:r w:rsidRPr="004D08B4">
        <w:instrText xml:space="preserve"> )</w:instrText>
      </w:r>
      <w:r>
        <w:instrText xml:space="preserve">" \s "Daniels I" \c 1 </w:instrText>
      </w:r>
      <w:r>
        <w:fldChar w:fldCharType="end"/>
      </w:r>
      <w:r w:rsidRPr="00AA25BF">
        <w:t xml:space="preserve">, </w:t>
      </w:r>
      <w:r w:rsidRPr="00AA25BF">
        <w:rPr>
          <w:u w:val="single"/>
        </w:rPr>
        <w:t>adhered to on recons</w:t>
      </w:r>
      <w:r w:rsidRPr="00AA25BF">
        <w:t>., 165 Wn.2d 627, 628, 200 P.3d 711 (2009) (</w:t>
      </w:r>
      <w:r w:rsidRPr="00AA25BF">
        <w:rPr>
          <w:u w:val="single"/>
        </w:rPr>
        <w:t>Daniels II</w:t>
      </w:r>
      <w:r w:rsidRPr="00AA25BF">
        <w:t xml:space="preserve"> )</w:t>
      </w:r>
      <w:r>
        <w:fldChar w:fldCharType="begin"/>
      </w:r>
      <w:r>
        <w:instrText xml:space="preserve"> TA \l "</w:instrText>
      </w:r>
      <w:r w:rsidRPr="00154867">
        <w:rPr>
          <w:u w:val="single"/>
        </w:rPr>
        <w:instrText>State v. Daniels</w:instrText>
      </w:r>
      <w:r w:rsidRPr="00154867">
        <w:instrText>, 165 Wn.2d 627, 628, 200 P.3d 711 (2009) (</w:instrText>
      </w:r>
      <w:r w:rsidRPr="00154867">
        <w:rPr>
          <w:u w:val="single"/>
        </w:rPr>
        <w:instrText>Daniels II</w:instrText>
      </w:r>
      <w:r w:rsidRPr="00154867">
        <w:instrText xml:space="preserve"> )</w:instrText>
      </w:r>
      <w:r>
        <w:instrText xml:space="preserve">" \s "Daniels II" \c 1 </w:instrText>
      </w:r>
      <w:r>
        <w:fldChar w:fldCharType="end"/>
      </w:r>
      <w:r>
        <w:t>)</w:t>
      </w:r>
      <w:r w:rsidRPr="00AA25BF">
        <w:t xml:space="preserve">.  Here, however, </w:t>
      </w:r>
      <w:r>
        <w:t xml:space="preserve">unlike those cases, </w:t>
      </w:r>
      <w:r w:rsidRPr="00AA25BF">
        <w:t>Thomas was charged with</w:t>
      </w:r>
      <w:r>
        <w:t>,</w:t>
      </w:r>
      <w:r w:rsidRPr="00AA25BF">
        <w:t xml:space="preserve"> and then retried on</w:t>
      </w:r>
      <w:r>
        <w:t>,</w:t>
      </w:r>
      <w:r w:rsidRPr="00AA25BF">
        <w:t xml:space="preserve"> a</w:t>
      </w:r>
      <w:r>
        <w:t xml:space="preserve"> single</w:t>
      </w:r>
      <w:r w:rsidRPr="00AA25BF">
        <w:t xml:space="preserve"> freestanding firearm allegation.  </w:t>
      </w:r>
    </w:p>
    <w:p w:rsidR="00C779F2" w:rsidRDefault="00C779F2" w:rsidP="005419CC">
      <w:pPr>
        <w:pStyle w:val="BodyTextIndent"/>
        <w:ind w:left="0" w:firstLine="630"/>
        <w:jc w:val="both"/>
      </w:pPr>
      <w:r>
        <w:lastRenderedPageBreak/>
        <w:t xml:space="preserve">The trial court, rather than finding the jury deadlocked, entered a verdict based on second degree assault alone.  The parties agreed that this verdict, as well as the corresponding blank firearm special verdict, should be entered.  Correspondingly, it is clear from the record that the trial court did not find “manifest necessity” requiring a mistrial on any charge.  The entry of the verdicts therefore sufficed to terminate jeopardy.  </w:t>
      </w:r>
      <w:r>
        <w:rPr>
          <w:u w:val="single"/>
        </w:rPr>
        <w:t>Cf</w:t>
      </w:r>
      <w:r>
        <w:t>.</w:t>
      </w:r>
      <w:r w:rsidRPr="0029519E">
        <w:t xml:space="preserve"> </w:t>
      </w:r>
      <w:r w:rsidRPr="0029519E">
        <w:rPr>
          <w:u w:val="single"/>
        </w:rPr>
        <w:t>Green</w:t>
      </w:r>
      <w:r>
        <w:rPr>
          <w:u w:val="single"/>
        </w:rPr>
        <w:fldChar w:fldCharType="begin"/>
      </w:r>
      <w:r>
        <w:rPr>
          <w:u w:val="single"/>
        </w:rPr>
        <w:instrText xml:space="preserve"> TA \s "Green" </w:instrText>
      </w:r>
      <w:r>
        <w:rPr>
          <w:u w:val="single"/>
        </w:rPr>
        <w:fldChar w:fldCharType="end"/>
      </w:r>
      <w:r>
        <w:t>, 355 U.S. at 188 (“</w:t>
      </w:r>
      <w:r w:rsidRPr="0029519E">
        <w:t>a verdict of acquittal is final, ending a defendant's jeopardy, and even when not followed by any judgment</w:t>
      </w:r>
      <w:r>
        <w:t xml:space="preserve"> </w:t>
      </w:r>
      <w:r w:rsidRPr="001C1016">
        <w:t>is a bar to a subsequent prosecution for the same offence</w:t>
      </w:r>
      <w:r w:rsidRPr="0029519E">
        <w:t>”)</w:t>
      </w:r>
      <w:r>
        <w:t xml:space="preserve"> (internal quotation marks omitted).  </w:t>
      </w:r>
    </w:p>
    <w:p w:rsidR="00C779F2" w:rsidRDefault="00C779F2" w:rsidP="005419CC">
      <w:pPr>
        <w:pStyle w:val="BodyTextIndent"/>
        <w:ind w:left="0" w:firstLine="630"/>
        <w:jc w:val="both"/>
      </w:pPr>
      <w:r>
        <w:t xml:space="preserve">In summary, Thomas’s jeopardy terminated when the trial court entered the verdicts and dismissed the jury.  </w:t>
      </w:r>
    </w:p>
    <w:p w:rsidR="00C779F2" w:rsidRDefault="00C779F2" w:rsidP="005419CC">
      <w:pPr>
        <w:pStyle w:val="BodyTextIndent"/>
        <w:ind w:left="0" w:firstLine="630"/>
        <w:jc w:val="both"/>
      </w:pPr>
      <w:r>
        <w:t xml:space="preserve">The question becomes whether the federal and state prohibitions on double jeopardy precluded retrial on the firearm allegation.  </w:t>
      </w:r>
    </w:p>
    <w:p w:rsidR="00C779F2" w:rsidRPr="00EF6662" w:rsidRDefault="00C779F2" w:rsidP="000826F0">
      <w:pPr>
        <w:pStyle w:val="BodyTextIndent"/>
        <w:numPr>
          <w:ilvl w:val="0"/>
          <w:numId w:val="9"/>
        </w:numPr>
        <w:spacing w:line="240" w:lineRule="auto"/>
        <w:ind w:left="1440" w:hanging="720"/>
        <w:jc w:val="both"/>
      </w:pPr>
      <w:r>
        <w:rPr>
          <w:caps/>
        </w:rPr>
        <w:t>correspondingly, DOUBLE JEOPARDY PRINCIPLES precluded RETRIAL ON THE FIREARM ALLEGATION.</w:t>
      </w:r>
      <w:r>
        <w:rPr>
          <w:caps/>
        </w:rPr>
        <w:fldChar w:fldCharType="begin"/>
      </w:r>
      <w:proofErr w:type="spellStart"/>
      <w:r>
        <w:instrText>tc</w:instrText>
      </w:r>
      <w:proofErr w:type="spellEnd"/>
      <w:r>
        <w:instrText xml:space="preserve"> "</w:instrText>
      </w:r>
      <w:bookmarkStart w:id="6" w:name="_Toc521490538"/>
      <w:r w:rsidRPr="00641833">
        <w:rPr>
          <w:caps/>
        </w:rPr>
        <w:instrText>correspondingly, DOUBLE JEOPARDY PRINCIPLES precluded RETRIAL ON THE FIREARM ALLEGATION.</w:instrText>
      </w:r>
      <w:bookmarkEnd w:id="6"/>
      <w:r>
        <w:instrText>" \f C \l 2</w:instrText>
      </w:r>
      <w:r>
        <w:rPr>
          <w:caps/>
        </w:rPr>
        <w:fldChar w:fldCharType="end"/>
      </w:r>
    </w:p>
    <w:p w:rsidR="00C779F2" w:rsidRDefault="00C779F2" w:rsidP="00A059C7">
      <w:pPr>
        <w:pStyle w:val="BodyTextIndent"/>
        <w:spacing w:line="240" w:lineRule="auto"/>
        <w:ind w:left="0" w:firstLine="720"/>
        <w:jc w:val="both"/>
      </w:pPr>
    </w:p>
    <w:p w:rsidR="00C779F2" w:rsidRDefault="00C779F2" w:rsidP="00714421">
      <w:pPr>
        <w:pStyle w:val="BodyTextIndent"/>
        <w:ind w:left="0" w:firstLine="720"/>
        <w:jc w:val="both"/>
      </w:pPr>
      <w:r>
        <w:t xml:space="preserve">Because jeopardy terminated, the prohibition on double jeopardy precluded retrial on the firearm allegation.  </w:t>
      </w:r>
      <w:proofErr w:type="spellStart"/>
      <w:r w:rsidRPr="005419CC">
        <w:rPr>
          <w:u w:val="single"/>
        </w:rPr>
        <w:t>Apprendi</w:t>
      </w:r>
      <w:proofErr w:type="spellEnd"/>
      <w:r w:rsidRPr="005419CC">
        <w:rPr>
          <w:u w:val="single"/>
        </w:rPr>
        <w:t xml:space="preserve"> v. New Jersey</w:t>
      </w:r>
      <w:r w:rsidRPr="005419CC">
        <w:t>, 530 U.S. 466, 120 S.</w:t>
      </w:r>
      <w:r>
        <w:t xml:space="preserve"> </w:t>
      </w:r>
      <w:r w:rsidRPr="005419CC">
        <w:t>Ct.</w:t>
      </w:r>
      <w:r>
        <w:t xml:space="preserve"> 2348, 147 L. Ed. 2d 435 (2000)</w:t>
      </w:r>
      <w:r>
        <w:fldChar w:fldCharType="begin"/>
      </w:r>
      <w:r>
        <w:instrText xml:space="preserve"> TA \l "</w:instrText>
      </w:r>
      <w:proofErr w:type="spellStart"/>
      <w:r w:rsidRPr="00887370">
        <w:rPr>
          <w:u w:val="single"/>
        </w:rPr>
        <w:instrText>Apprendi</w:instrText>
      </w:r>
      <w:proofErr w:type="spellEnd"/>
      <w:r w:rsidRPr="00887370">
        <w:rPr>
          <w:u w:val="single"/>
        </w:rPr>
        <w:instrText xml:space="preserve"> v. New Jersey</w:instrText>
      </w:r>
      <w:r w:rsidRPr="00887370">
        <w:instrText>, 530 U.S. 466, 120 S. Ct. 2348, 147 L. Ed. 2d 435 (2000)</w:instrText>
      </w:r>
      <w:r>
        <w:instrText xml:space="preserve">" \s </w:instrText>
      </w:r>
      <w:r>
        <w:lastRenderedPageBreak/>
        <w:instrText>"</w:instrText>
      </w:r>
      <w:proofErr w:type="spellStart"/>
      <w:r>
        <w:instrText>Apprendi</w:instrText>
      </w:r>
      <w:proofErr w:type="spellEnd"/>
      <w:r>
        <w:instrText xml:space="preserve">" \c 8 </w:instrText>
      </w:r>
      <w:r>
        <w:fldChar w:fldCharType="end"/>
      </w:r>
      <w:r>
        <w:t xml:space="preserve"> establishes that, in this context, the firearm allegation should be considered an element of a greater offense, namely, second degree assault with a firearm enhancement.  Thus, unlike cases involving reconsideration of mere sentencing factors, double jeopardy protections prohibited </w:t>
      </w:r>
      <w:proofErr w:type="spellStart"/>
      <w:r>
        <w:t>relitigation</w:t>
      </w:r>
      <w:proofErr w:type="spellEnd"/>
      <w:r>
        <w:t xml:space="preserve"> of the firearm enhancement.  Case law arguably holding to the contrary—to the extent that it is not distinguishable—should be considered both incorrect and harmful.</w:t>
      </w:r>
    </w:p>
    <w:p w:rsidR="00C779F2" w:rsidRDefault="00C779F2" w:rsidP="005419CC">
      <w:pPr>
        <w:pStyle w:val="BodyTextIndent"/>
        <w:ind w:left="0" w:firstLine="720"/>
        <w:jc w:val="both"/>
      </w:pPr>
      <w:r w:rsidRPr="00EF6662">
        <w:t xml:space="preserve">The </w:t>
      </w:r>
      <w:r>
        <w:t xml:space="preserve">United States </w:t>
      </w:r>
      <w:r w:rsidRPr="00EF6662">
        <w:t xml:space="preserve">Supreme Court has held </w:t>
      </w:r>
      <w:r>
        <w:t xml:space="preserve">that </w:t>
      </w:r>
      <w:r w:rsidRPr="00EF6662">
        <w:t>the double jeopardy clause prevents retrying a defendant on aggravating facto</w:t>
      </w:r>
      <w:r>
        <w:t xml:space="preserve">rs supporting the death penalty when a previous jury </w:t>
      </w:r>
      <w:r w:rsidRPr="00EF6662">
        <w:t>rejected the imposition of the death penalty.</w:t>
      </w:r>
      <w:r>
        <w:t xml:space="preserve"> </w:t>
      </w:r>
      <w:r w:rsidRPr="00EF6662">
        <w:t xml:space="preserve"> </w:t>
      </w:r>
      <w:proofErr w:type="spellStart"/>
      <w:r w:rsidRPr="00EF6662">
        <w:rPr>
          <w:u w:val="single"/>
        </w:rPr>
        <w:t>Bullington</w:t>
      </w:r>
      <w:proofErr w:type="spellEnd"/>
      <w:r w:rsidRPr="00EF6662">
        <w:rPr>
          <w:u w:val="single"/>
        </w:rPr>
        <w:t xml:space="preserve"> v. Missouri</w:t>
      </w:r>
      <w:r w:rsidRPr="00EF6662">
        <w:t>, 451 U.S. 430, 446, 101 S.</w:t>
      </w:r>
      <w:r>
        <w:t xml:space="preserve"> </w:t>
      </w:r>
      <w:r w:rsidRPr="00EF6662">
        <w:t>Ct. 1852, 68 L.</w:t>
      </w:r>
      <w:r>
        <w:t xml:space="preserve"> </w:t>
      </w:r>
      <w:r w:rsidRPr="00EF6662">
        <w:t>Ed.</w:t>
      </w:r>
      <w:r>
        <w:t xml:space="preserve"> </w:t>
      </w:r>
      <w:r w:rsidRPr="00EF6662">
        <w:t>2d 270 (1981)</w:t>
      </w:r>
      <w:r>
        <w:fldChar w:fldCharType="begin"/>
      </w:r>
      <w:r>
        <w:instrText xml:space="preserve"> TA \l "</w:instrText>
      </w:r>
      <w:proofErr w:type="spellStart"/>
      <w:r w:rsidRPr="0013389C">
        <w:rPr>
          <w:u w:val="single"/>
        </w:rPr>
        <w:instrText>Bullington</w:instrText>
      </w:r>
      <w:proofErr w:type="spellEnd"/>
      <w:r w:rsidRPr="0013389C">
        <w:rPr>
          <w:u w:val="single"/>
        </w:rPr>
        <w:instrText xml:space="preserve"> v. Missouri</w:instrText>
      </w:r>
      <w:r w:rsidRPr="0013389C">
        <w:instrText>, 451 U.S. 430, 446, 101 S. Ct. 1852, 68 L. Ed. 2d 270 (1981)</w:instrText>
      </w:r>
      <w:r>
        <w:instrText>" \s "</w:instrText>
      </w:r>
      <w:proofErr w:type="spellStart"/>
      <w:r>
        <w:instrText>Bullington</w:instrText>
      </w:r>
      <w:proofErr w:type="spellEnd"/>
      <w:r>
        <w:instrText xml:space="preserve">" \c 8 </w:instrText>
      </w:r>
      <w:r>
        <w:fldChar w:fldCharType="end"/>
      </w:r>
      <w:r w:rsidRPr="00EF6662">
        <w:t xml:space="preserve">. </w:t>
      </w:r>
      <w:r>
        <w:t xml:space="preserve"> </w:t>
      </w:r>
    </w:p>
    <w:p w:rsidR="00C779F2" w:rsidRDefault="00C779F2" w:rsidP="005419CC">
      <w:pPr>
        <w:pStyle w:val="BodyTextIndent"/>
        <w:ind w:left="0" w:firstLine="720"/>
        <w:jc w:val="both"/>
      </w:pPr>
      <w:r>
        <w:t>H</w:t>
      </w:r>
      <w:r w:rsidRPr="00EF6662">
        <w:t xml:space="preserve">istorically, </w:t>
      </w:r>
      <w:r>
        <w:t xml:space="preserve">however, </w:t>
      </w:r>
      <w:r w:rsidRPr="00EF6662">
        <w:t xml:space="preserve">double jeopardy protections </w:t>
      </w:r>
      <w:r>
        <w:t>were considered</w:t>
      </w:r>
      <w:r w:rsidRPr="00EF6662">
        <w:t xml:space="preserve"> inapplicable to </w:t>
      </w:r>
      <w:r>
        <w:t xml:space="preserve">other </w:t>
      </w:r>
      <w:r w:rsidRPr="00EF6662">
        <w:t>sentencing proceedings becaus</w:t>
      </w:r>
      <w:r>
        <w:t>e the determinations at issue did</w:t>
      </w:r>
      <w:r w:rsidRPr="00EF6662">
        <w:t xml:space="preserve"> not place a defendant in jeopardy for an “offense.” </w:t>
      </w:r>
      <w:r>
        <w:t xml:space="preserve"> </w:t>
      </w:r>
      <w:r>
        <w:rPr>
          <w:u w:val="single"/>
        </w:rPr>
        <w:t>See</w:t>
      </w:r>
      <w:r>
        <w:t xml:space="preserve"> </w:t>
      </w:r>
      <w:r w:rsidRPr="00EF6662">
        <w:rPr>
          <w:u w:val="single"/>
        </w:rPr>
        <w:t>Monge v. California</w:t>
      </w:r>
      <w:r w:rsidRPr="00EF6662">
        <w:t>, 524 U.S. 721, 728, 118 S.</w:t>
      </w:r>
      <w:r>
        <w:t xml:space="preserve"> </w:t>
      </w:r>
      <w:r w:rsidRPr="00EF6662">
        <w:t>Ct. 2246, 141 L.</w:t>
      </w:r>
      <w:r>
        <w:t xml:space="preserve"> </w:t>
      </w:r>
      <w:r w:rsidRPr="00EF6662">
        <w:t>Ed.</w:t>
      </w:r>
      <w:r>
        <w:t xml:space="preserve"> </w:t>
      </w:r>
      <w:r w:rsidRPr="00EF6662">
        <w:t>2d 615 (1998)</w:t>
      </w:r>
      <w:r>
        <w:fldChar w:fldCharType="begin"/>
      </w:r>
      <w:r>
        <w:instrText xml:space="preserve"> TA \l "</w:instrText>
      </w:r>
      <w:r w:rsidRPr="007953DE">
        <w:rPr>
          <w:u w:val="single"/>
        </w:rPr>
        <w:instrText>Monge v. California</w:instrText>
      </w:r>
      <w:r w:rsidRPr="007953DE">
        <w:instrText>, 524 U.S. 721, 728, 118 S. Ct. 2246, 141 L. Ed. 2d 615 (1998)</w:instrText>
      </w:r>
      <w:r>
        <w:instrText xml:space="preserve">" \s "Monge" \c 8 </w:instrText>
      </w:r>
      <w:r>
        <w:fldChar w:fldCharType="end"/>
      </w:r>
      <w:r>
        <w:t xml:space="preserve"> (refusing</w:t>
      </w:r>
      <w:r w:rsidRPr="00DF1E47">
        <w:t xml:space="preserve"> to find a double jeopardy violation where</w:t>
      </w:r>
      <w:r>
        <w:t xml:space="preserve"> state sought to prove prior conviction on remand after </w:t>
      </w:r>
      <w:r>
        <w:lastRenderedPageBreak/>
        <w:t xml:space="preserve">appellate court found insufficient evidence of that conviction for purposes of three-strikes law).  </w:t>
      </w:r>
    </w:p>
    <w:p w:rsidR="00C779F2" w:rsidRDefault="00C779F2" w:rsidP="005419CC">
      <w:pPr>
        <w:pStyle w:val="BodyTextIndent"/>
        <w:ind w:left="0" w:firstLine="720"/>
        <w:jc w:val="both"/>
      </w:pPr>
      <w:r>
        <w:t xml:space="preserve">But, following </w:t>
      </w:r>
      <w:proofErr w:type="spellStart"/>
      <w:r w:rsidRPr="005419CC">
        <w:rPr>
          <w:u w:val="single"/>
        </w:rPr>
        <w:t>Apprendi</w:t>
      </w:r>
      <w:proofErr w:type="spellEnd"/>
      <w:r>
        <w:rPr>
          <w:u w:val="single"/>
        </w:rPr>
        <w:fldChar w:fldCharType="begin"/>
      </w:r>
      <w:r>
        <w:rPr>
          <w:u w:val="single"/>
        </w:rPr>
        <w:instrText xml:space="preserve"> TA \s "</w:instrText>
      </w:r>
      <w:proofErr w:type="spellStart"/>
      <w:r>
        <w:rPr>
          <w:u w:val="single"/>
        </w:rPr>
        <w:instrText>Apprendi</w:instrText>
      </w:r>
      <w:proofErr w:type="spellEnd"/>
      <w:r>
        <w:rPr>
          <w:u w:val="single"/>
        </w:rPr>
        <w:instrText xml:space="preserve">" </w:instrText>
      </w:r>
      <w:r>
        <w:rPr>
          <w:u w:val="single"/>
        </w:rPr>
        <w:fldChar w:fldCharType="end"/>
      </w:r>
      <w:r>
        <w:t xml:space="preserve"> and its progeny, a “sentence enhancement,” as distinguished from a “sentencing factor,” must be considered “</w:t>
      </w:r>
      <w:r w:rsidRPr="005419CC">
        <w:t>the functional equivalent of a</w:t>
      </w:r>
      <w:r>
        <w:t>n element of a greater offense.</w:t>
      </w:r>
      <w:r w:rsidRPr="005419CC">
        <w:t xml:space="preserve">” </w:t>
      </w:r>
      <w:proofErr w:type="spellStart"/>
      <w:r w:rsidRPr="00E80509">
        <w:rPr>
          <w:u w:val="single"/>
        </w:rPr>
        <w:t>Apprendi</w:t>
      </w:r>
      <w:proofErr w:type="spellEnd"/>
      <w:r>
        <w:t xml:space="preserve">, </w:t>
      </w:r>
      <w:r w:rsidRPr="00E80509">
        <w:t>530</w:t>
      </w:r>
      <w:r>
        <w:t xml:space="preserve"> U.S. at 494 n. 19.</w:t>
      </w:r>
      <w:r>
        <w:rPr>
          <w:rStyle w:val="FootnoteReference"/>
        </w:rPr>
        <w:footnoteReference w:id="5"/>
      </w:r>
      <w:r w:rsidRPr="005419CC">
        <w:t xml:space="preserve"> </w:t>
      </w:r>
      <w:r>
        <w:t xml:space="preserve"> </w:t>
      </w:r>
    </w:p>
    <w:p w:rsidR="00C779F2" w:rsidRDefault="00C779F2" w:rsidP="00E80509">
      <w:pPr>
        <w:pStyle w:val="BodyTextIndent"/>
        <w:ind w:left="0" w:firstLine="720"/>
        <w:jc w:val="both"/>
      </w:pPr>
      <w:r>
        <w:t xml:space="preserve">Thus, the firearm sentence allegation in this case was the “functional equivalent” of an element of a greater offense, namely, second degree assault with a firearm enhancement.  When the verdict was entered on—in essence—the lesser offense of </w:t>
      </w:r>
      <w:proofErr w:type="gramStart"/>
      <w:r>
        <w:t>second degree</w:t>
      </w:r>
      <w:proofErr w:type="gramEnd"/>
      <w:r>
        <w:t xml:space="preserve"> assault, the State was prohibited from seeking conviction on the greater crime in a second proceeding.</w:t>
      </w:r>
    </w:p>
    <w:p w:rsidR="00C779F2" w:rsidRDefault="00C779F2" w:rsidP="005419CC">
      <w:pPr>
        <w:pStyle w:val="BodyTextIndent"/>
        <w:ind w:left="0" w:firstLine="720"/>
        <w:jc w:val="both"/>
      </w:pPr>
      <w:r>
        <w:lastRenderedPageBreak/>
        <w:t xml:space="preserve">This Court has, admittedly, rejected the </w:t>
      </w:r>
      <w:proofErr w:type="spellStart"/>
      <w:r>
        <w:rPr>
          <w:u w:val="single"/>
        </w:rPr>
        <w:t>Apprendi</w:t>
      </w:r>
      <w:proofErr w:type="spellEnd"/>
      <w:r>
        <w:rPr>
          <w:u w:val="single"/>
        </w:rPr>
        <w:fldChar w:fldCharType="begin"/>
      </w:r>
      <w:r>
        <w:rPr>
          <w:u w:val="single"/>
        </w:rPr>
        <w:instrText xml:space="preserve"> TA \s "</w:instrText>
      </w:r>
      <w:proofErr w:type="spellStart"/>
      <w:r>
        <w:rPr>
          <w:u w:val="single"/>
        </w:rPr>
        <w:instrText>Apprendi</w:instrText>
      </w:r>
      <w:proofErr w:type="spellEnd"/>
      <w:r>
        <w:rPr>
          <w:u w:val="single"/>
        </w:rPr>
        <w:instrText xml:space="preserve">" </w:instrText>
      </w:r>
      <w:r>
        <w:rPr>
          <w:u w:val="single"/>
        </w:rPr>
        <w:fldChar w:fldCharType="end"/>
      </w:r>
      <w:r>
        <w:t xml:space="preserve"> “greater offense” formulation when analyzing a double jeopardy claim.  But this Court did so in a different context.  </w:t>
      </w:r>
    </w:p>
    <w:p w:rsidR="00C779F2" w:rsidRDefault="00C779F2" w:rsidP="005419CC">
      <w:pPr>
        <w:pStyle w:val="BodyTextIndent"/>
        <w:ind w:left="0" w:firstLine="720"/>
        <w:jc w:val="both"/>
      </w:pPr>
      <w:r w:rsidRPr="007A7E2A">
        <w:t xml:space="preserve">The double jeopardy clauses prevent defendants from receiving multiple punishments for the same offense. </w:t>
      </w:r>
      <w:r>
        <w:t xml:space="preserve"> </w:t>
      </w:r>
      <w:r w:rsidRPr="007A7E2A">
        <w:rPr>
          <w:u w:val="single"/>
        </w:rPr>
        <w:t>State v. Aguirre</w:t>
      </w:r>
      <w:r>
        <w:t>, 168 Wn</w:t>
      </w:r>
      <w:r w:rsidRPr="007A7E2A">
        <w:t>.2d 350, 366, 229 P.3d 669 (2010)</w:t>
      </w:r>
      <w:r>
        <w:fldChar w:fldCharType="begin"/>
      </w:r>
      <w:r>
        <w:instrText xml:space="preserve"> TA \l "</w:instrText>
      </w:r>
      <w:r w:rsidRPr="003F5108">
        <w:rPr>
          <w:u w:val="single"/>
        </w:rPr>
        <w:instrText>State v. Aguirre</w:instrText>
      </w:r>
      <w:r w:rsidRPr="003F5108">
        <w:instrText>, 168 Wn.2d 350, 366, 229 P.3d 669 (2010)</w:instrText>
      </w:r>
      <w:r>
        <w:instrText xml:space="preserve">" \s "Aguirre" \c 1 </w:instrText>
      </w:r>
      <w:r>
        <w:fldChar w:fldCharType="end"/>
      </w:r>
      <w:r w:rsidRPr="007A7E2A">
        <w:t>.</w:t>
      </w:r>
      <w:r>
        <w:t xml:space="preserve">  In </w:t>
      </w:r>
      <w:r w:rsidRPr="00115754">
        <w:rPr>
          <w:u w:val="single"/>
        </w:rPr>
        <w:t>State v. Kelley</w:t>
      </w:r>
      <w:r>
        <w:t>, 168 Wn.2d 72, 226 P.3d 773 (2010)</w:t>
      </w:r>
      <w:r>
        <w:fldChar w:fldCharType="begin"/>
      </w:r>
      <w:r>
        <w:instrText xml:space="preserve"> TA \l "</w:instrText>
      </w:r>
      <w:r w:rsidRPr="0029279B">
        <w:rPr>
          <w:u w:val="single"/>
        </w:rPr>
        <w:instrText>State v. Kelley</w:instrText>
      </w:r>
      <w:r w:rsidRPr="0029279B">
        <w:instrText>, 168 Wn.2d 72, 226 P.3d 773 (2010)</w:instrText>
      </w:r>
      <w:r>
        <w:instrText xml:space="preserve">" \s "Kelley" \c 1 </w:instrText>
      </w:r>
      <w:r>
        <w:fldChar w:fldCharType="end"/>
      </w:r>
      <w:r>
        <w:t>, this C</w:t>
      </w:r>
      <w:r w:rsidRPr="007A7E2A">
        <w:t xml:space="preserve">ourt </w:t>
      </w:r>
      <w:r>
        <w:t xml:space="preserve">rejected a double jeopardy challenge based on an argument that a weapon sentence </w:t>
      </w:r>
      <w:r w:rsidRPr="007A7E2A">
        <w:t>enhancement is an element of a greater offense</w:t>
      </w:r>
      <w:r>
        <w:t>,</w:t>
      </w:r>
      <w:r w:rsidRPr="007A7E2A">
        <w:t xml:space="preserve"> and </w:t>
      </w:r>
      <w:r>
        <w:t>therefore creates</w:t>
      </w:r>
      <w:r w:rsidRPr="007A7E2A">
        <w:t xml:space="preserve"> redundant punishment</w:t>
      </w:r>
      <w:r>
        <w:t xml:space="preserve"> in cases where the weapon is also an element of the underlying crime</w:t>
      </w:r>
      <w:r w:rsidRPr="007A7E2A">
        <w:t>.</w:t>
      </w:r>
      <w:r>
        <w:t xml:space="preserve">  </w:t>
      </w:r>
      <w:r>
        <w:rPr>
          <w:u w:val="single"/>
        </w:rPr>
        <w:t>Id</w:t>
      </w:r>
      <w:r>
        <w:t>. at 81</w:t>
      </w:r>
      <w:r w:rsidRPr="007A7E2A">
        <w:t>.</w:t>
      </w:r>
    </w:p>
    <w:p w:rsidR="00C779F2" w:rsidRDefault="00C779F2" w:rsidP="00737D8F">
      <w:pPr>
        <w:pStyle w:val="BodyTextIndent"/>
        <w:ind w:left="0" w:firstLine="720"/>
        <w:jc w:val="both"/>
      </w:pPr>
      <w:r w:rsidRPr="002E7A72">
        <w:t xml:space="preserve">But </w:t>
      </w:r>
      <w:r w:rsidRPr="00737D8F">
        <w:rPr>
          <w:u w:val="single"/>
        </w:rPr>
        <w:t>Kelley</w:t>
      </w:r>
      <w:r>
        <w:rPr>
          <w:u w:val="single"/>
        </w:rPr>
        <w:fldChar w:fldCharType="begin"/>
      </w:r>
      <w:r>
        <w:rPr>
          <w:u w:val="single"/>
        </w:rPr>
        <w:instrText xml:space="preserve"> TA \s "Kelley" </w:instrText>
      </w:r>
      <w:r>
        <w:rPr>
          <w:u w:val="single"/>
        </w:rPr>
        <w:fldChar w:fldCharType="end"/>
      </w:r>
      <w:r>
        <w:t xml:space="preserve"> is distinguishable, as it involves a different species of double jeopardy challenge.  </w:t>
      </w:r>
      <w:r w:rsidRPr="00737D8F">
        <w:t>The</w:t>
      </w:r>
      <w:r>
        <w:t xml:space="preserve"> </w:t>
      </w:r>
      <w:r>
        <w:rPr>
          <w:u w:val="single"/>
        </w:rPr>
        <w:t>Kelley</w:t>
      </w:r>
      <w:r>
        <w:t xml:space="preserve"> rejection of the </w:t>
      </w:r>
      <w:proofErr w:type="spellStart"/>
      <w:r>
        <w:rPr>
          <w:u w:val="single"/>
        </w:rPr>
        <w:t>Apprendi</w:t>
      </w:r>
      <w:proofErr w:type="spellEnd"/>
      <w:r>
        <w:t xml:space="preserve"> “greater offense’ analysis is, moreover, both incorrect and harmful when applied in this specific context.  </w:t>
      </w:r>
      <w:r>
        <w:rPr>
          <w:u w:val="single"/>
        </w:rPr>
        <w:t>See</w:t>
      </w:r>
      <w:r>
        <w:t xml:space="preserve"> </w:t>
      </w:r>
      <w:r w:rsidRPr="00115754">
        <w:rPr>
          <w:u w:val="single"/>
        </w:rPr>
        <w:t>In re Rights to Waters of Stranger Creek</w:t>
      </w:r>
      <w:r>
        <w:t>, 77 Wn</w:t>
      </w:r>
      <w:r w:rsidRPr="00115754">
        <w:t>.2d 649, 653, 466 P.2d 508 (</w:t>
      </w:r>
      <w:r>
        <w:t>1970)</w:t>
      </w:r>
      <w:r>
        <w:fldChar w:fldCharType="begin"/>
      </w:r>
      <w:r>
        <w:instrText xml:space="preserve"> TA \l "</w:instrText>
      </w:r>
      <w:r w:rsidRPr="006E4021">
        <w:rPr>
          <w:u w:val="single"/>
        </w:rPr>
        <w:instrText>In re Rights to Waters of Stranger Creek</w:instrText>
      </w:r>
      <w:r w:rsidRPr="006E4021">
        <w:instrText>, 77 Wn.2d 649, 653, 466 P.2d 508 (1970)</w:instrText>
      </w:r>
      <w:r>
        <w:instrText xml:space="preserve">" \s "Stranger Creek" \c 1 </w:instrText>
      </w:r>
      <w:r>
        <w:fldChar w:fldCharType="end"/>
      </w:r>
      <w:r>
        <w:t xml:space="preserve"> (this Court will disregard precedent</w:t>
      </w:r>
      <w:r w:rsidRPr="00115754">
        <w:t xml:space="preserve"> if shown to be incorrect and harmful</w:t>
      </w:r>
      <w:r>
        <w:t>)</w:t>
      </w:r>
      <w:r w:rsidRPr="00115754">
        <w:t>.</w:t>
      </w:r>
    </w:p>
    <w:p w:rsidR="00C779F2" w:rsidRDefault="00C779F2" w:rsidP="00737D8F">
      <w:pPr>
        <w:pStyle w:val="BodyTextIndent"/>
        <w:ind w:left="0" w:firstLine="720"/>
        <w:jc w:val="both"/>
      </w:pPr>
      <w:r>
        <w:lastRenderedPageBreak/>
        <w:t xml:space="preserve">First, as stated, it is incorrect to treat a firearm allegation as a mere sentencing factor.  Rather, such an allegation must be treated as the functional equivalent of an element of a greater offense.  </w:t>
      </w:r>
      <w:proofErr w:type="spellStart"/>
      <w:r>
        <w:rPr>
          <w:u w:val="single"/>
        </w:rPr>
        <w:t>Apprendi</w:t>
      </w:r>
      <w:proofErr w:type="spellEnd"/>
      <w:r>
        <w:rPr>
          <w:u w:val="single"/>
        </w:rPr>
        <w:fldChar w:fldCharType="begin"/>
      </w:r>
      <w:r>
        <w:rPr>
          <w:u w:val="single"/>
        </w:rPr>
        <w:instrText xml:space="preserve"> TA \s "</w:instrText>
      </w:r>
      <w:proofErr w:type="spellStart"/>
      <w:r>
        <w:rPr>
          <w:u w:val="single"/>
        </w:rPr>
        <w:instrText>Apprendi</w:instrText>
      </w:r>
      <w:proofErr w:type="spellEnd"/>
      <w:r>
        <w:rPr>
          <w:u w:val="single"/>
        </w:rPr>
        <w:instrText xml:space="preserve">" </w:instrText>
      </w:r>
      <w:r>
        <w:rPr>
          <w:u w:val="single"/>
        </w:rPr>
        <w:fldChar w:fldCharType="end"/>
      </w:r>
      <w:r w:rsidRPr="005419CC">
        <w:t xml:space="preserve">, 530 U.S. </w:t>
      </w:r>
      <w:r>
        <w:t xml:space="preserve">at </w:t>
      </w:r>
      <w:r w:rsidRPr="005419CC">
        <w:t>494 n. 19</w:t>
      </w:r>
      <w:r>
        <w:t xml:space="preserve">.  Second, permitting retrial on a mere element of a greater offense—where the jury only saw fit to convict on the lesser offense—allows tails to wag dogs, potentially leading to catastrophic waste of resources.  In </w:t>
      </w:r>
      <w:r>
        <w:rPr>
          <w:u w:val="single"/>
        </w:rPr>
        <w:t>Monge</w:t>
      </w:r>
      <w:r>
        <w:rPr>
          <w:u w:val="single"/>
        </w:rPr>
        <w:fldChar w:fldCharType="begin"/>
      </w:r>
      <w:r>
        <w:rPr>
          <w:u w:val="single"/>
        </w:rPr>
        <w:instrText xml:space="preserve"> TA \s "Monge" </w:instrText>
      </w:r>
      <w:r>
        <w:rPr>
          <w:u w:val="single"/>
        </w:rPr>
        <w:fldChar w:fldCharType="end"/>
      </w:r>
      <w:r>
        <w:t xml:space="preserve">, for example, the government was permitted to relitigate a sentencing proceeding based on mere recidivism.  </w:t>
      </w:r>
      <w:r>
        <w:rPr>
          <w:u w:val="single"/>
        </w:rPr>
        <w:t>Monge</w:t>
      </w:r>
      <w:r>
        <w:t xml:space="preserve">, 524 U.S. 725.  But here, in contrast, the State subjected Mr. Thomas (already convicted of </w:t>
      </w:r>
      <w:proofErr w:type="gramStart"/>
      <w:r>
        <w:t>second degree</w:t>
      </w:r>
      <w:proofErr w:type="gramEnd"/>
      <w:r>
        <w:t xml:space="preserve"> assault) to a whole new trial lasting almost as long as the first.  As indicated, the original trial in this case lasted 10 days, whereas the “enhancement” trial took seven.  Supp. Br. of </w:t>
      </w:r>
      <w:proofErr w:type="spellStart"/>
      <w:r>
        <w:t>Pet’r</w:t>
      </w:r>
      <w:proofErr w:type="spellEnd"/>
      <w:r>
        <w:t xml:space="preserve"> at 3 n. 3.  What occurred here runs contrary to the reasoning behind “unable to agree” instructions in the first instance.  </w:t>
      </w:r>
      <w:r>
        <w:rPr>
          <w:u w:val="single"/>
        </w:rPr>
        <w:t>Cf.</w:t>
      </w:r>
      <w:r>
        <w:t xml:space="preserve"> </w:t>
      </w:r>
      <w:r w:rsidRPr="00E374D7">
        <w:rPr>
          <w:u w:val="single"/>
        </w:rPr>
        <w:t>State v. Labanowski</w:t>
      </w:r>
      <w:r>
        <w:t>, 117 Wn.</w:t>
      </w:r>
      <w:r w:rsidRPr="002859EA">
        <w:t>2d 405, 420, 816 P.2d 26 (1991)</w:t>
      </w:r>
      <w:r>
        <w:fldChar w:fldCharType="begin"/>
      </w:r>
      <w:r>
        <w:instrText xml:space="preserve"> TA \l "</w:instrText>
      </w:r>
      <w:r w:rsidRPr="0018650B">
        <w:rPr>
          <w:u w:val="single"/>
        </w:rPr>
        <w:instrText>State v. Labanowski</w:instrText>
      </w:r>
      <w:r w:rsidRPr="0018650B">
        <w:instrText>, 117 Wn.2d 405, 420, 816 P.2d 26 (1991)</w:instrText>
      </w:r>
      <w:r>
        <w:instrText xml:space="preserve">" \s "Labanowski" \c 1 </w:instrText>
      </w:r>
      <w:r>
        <w:fldChar w:fldCharType="end"/>
      </w:r>
      <w:r>
        <w:t xml:space="preserve"> (“</w:t>
      </w:r>
      <w:r w:rsidRPr="00E374D7">
        <w:t>unable to agree</w:t>
      </w:r>
      <w:r>
        <w:t>”</w:t>
      </w:r>
      <w:r w:rsidRPr="00E374D7">
        <w:t xml:space="preserve"> instructions avoid costly retrials caused by hung juries, which are more likely in an </w:t>
      </w:r>
      <w:r>
        <w:t>“</w:t>
      </w:r>
      <w:r w:rsidRPr="00E374D7">
        <w:t>acquittal first</w:t>
      </w:r>
      <w:r>
        <w:t>” instructional scheme)</w:t>
      </w:r>
      <w:r w:rsidRPr="00E374D7">
        <w:t>.</w:t>
      </w:r>
      <w:r>
        <w:t xml:space="preserve">  </w:t>
      </w:r>
    </w:p>
    <w:p w:rsidR="00C779F2" w:rsidRDefault="00C779F2" w:rsidP="00737D8F">
      <w:pPr>
        <w:pStyle w:val="BodyTextIndent"/>
        <w:ind w:left="0" w:firstLine="720"/>
        <w:jc w:val="both"/>
      </w:pPr>
      <w:r>
        <w:t xml:space="preserve">This case demonstrates the harmful effects of allowing a full retrial on what is no more than the functional equivalent of an element of a greater offense.  </w:t>
      </w:r>
    </w:p>
    <w:p w:rsidR="00C779F2" w:rsidRDefault="00C779F2" w:rsidP="00737D8F">
      <w:pPr>
        <w:pStyle w:val="BodyTextIndent"/>
        <w:ind w:left="0" w:firstLine="720"/>
        <w:jc w:val="both"/>
      </w:pPr>
      <w:r>
        <w:lastRenderedPageBreak/>
        <w:t xml:space="preserve">This Court should hold that, for purposes of double jeopardy analysis, entry of the verdict on the lesser crime of </w:t>
      </w:r>
      <w:proofErr w:type="gramStart"/>
      <w:r>
        <w:t>second degree</w:t>
      </w:r>
      <w:proofErr w:type="gramEnd"/>
      <w:r>
        <w:t xml:space="preserve"> assault, and corresponding blank special verdict, prohibited retrial on the greater offense.</w:t>
      </w:r>
    </w:p>
    <w:p w:rsidR="00C779F2" w:rsidRPr="00F4198E" w:rsidRDefault="00C779F2" w:rsidP="000826F0">
      <w:pPr>
        <w:pStyle w:val="ListParagraph"/>
        <w:numPr>
          <w:ilvl w:val="0"/>
          <w:numId w:val="1"/>
        </w:numPr>
        <w:tabs>
          <w:tab w:val="clear" w:pos="1800"/>
        </w:tabs>
        <w:ind w:left="720" w:hanging="720"/>
        <w:rPr>
          <w:u w:val="single"/>
        </w:rPr>
      </w:pPr>
      <w:r w:rsidRPr="00F4198E">
        <w:rPr>
          <w:u w:val="single"/>
        </w:rPr>
        <w:t>CONCLUSION</w:t>
      </w:r>
      <w:r>
        <w:rPr>
          <w:u w:val="single"/>
        </w:rPr>
        <w:fldChar w:fldCharType="begin"/>
      </w:r>
      <w:proofErr w:type="spellStart"/>
      <w:r>
        <w:instrText>tc</w:instrText>
      </w:r>
      <w:proofErr w:type="spellEnd"/>
      <w:r>
        <w:instrText xml:space="preserve"> "</w:instrText>
      </w:r>
      <w:bookmarkStart w:id="7" w:name="_Toc521490539"/>
      <w:r w:rsidRPr="003F4A5C">
        <w:rPr>
          <w:u w:val="single"/>
        </w:rPr>
        <w:instrText>CONCLUSION</w:instrText>
      </w:r>
      <w:bookmarkEnd w:id="7"/>
      <w:r>
        <w:instrText>" \f C \l 1</w:instrText>
      </w:r>
      <w:r>
        <w:rPr>
          <w:u w:val="single"/>
        </w:rPr>
        <w:fldChar w:fldCharType="end"/>
      </w:r>
    </w:p>
    <w:p w:rsidR="00C779F2" w:rsidRPr="00776766" w:rsidRDefault="00C779F2" w:rsidP="005419CC">
      <w:pPr>
        <w:ind w:left="90"/>
        <w:rPr>
          <w:u w:val="single"/>
        </w:rPr>
      </w:pPr>
    </w:p>
    <w:p w:rsidR="00C779F2" w:rsidRDefault="00C779F2" w:rsidP="005419CC">
      <w:pPr>
        <w:pStyle w:val="BodyTextIndent"/>
        <w:ind w:left="0" w:firstLine="765"/>
        <w:jc w:val="both"/>
      </w:pPr>
      <w:r>
        <w:t>For these additional reasons, this Court should reverse the Court of Appeals and remand for the firearm enhancement to be stricken.</w:t>
      </w:r>
    </w:p>
    <w:p w:rsidR="00C779F2" w:rsidRPr="00776766" w:rsidRDefault="00C779F2" w:rsidP="005419CC">
      <w:pPr>
        <w:pStyle w:val="BodyTextIndent"/>
        <w:ind w:left="135" w:firstLine="630"/>
        <w:jc w:val="both"/>
      </w:pPr>
      <w:r>
        <w:t>DATED this 13</w:t>
      </w:r>
      <w:r w:rsidRPr="003949AF">
        <w:rPr>
          <w:vertAlign w:val="superscript"/>
        </w:rPr>
        <w:t>th</w:t>
      </w:r>
      <w:r>
        <w:t xml:space="preserve"> day of August, 2018</w:t>
      </w:r>
      <w:r w:rsidRPr="00776766">
        <w:t>.</w:t>
      </w:r>
    </w:p>
    <w:p w:rsidR="00C779F2" w:rsidRPr="00776766" w:rsidRDefault="00C779F2" w:rsidP="005419CC">
      <w:pPr>
        <w:pStyle w:val="BodyTextIndent"/>
        <w:ind w:left="1080"/>
        <w:jc w:val="both"/>
      </w:pPr>
      <w:r w:rsidRPr="00776766">
        <w:t>Respectfully submitted,</w:t>
      </w:r>
    </w:p>
    <w:p w:rsidR="00C779F2" w:rsidRPr="00776766" w:rsidRDefault="00C779F2" w:rsidP="005419CC">
      <w:pPr>
        <w:pStyle w:val="BodyTextIndent"/>
        <w:ind w:left="810" w:firstLine="630"/>
        <w:jc w:val="both"/>
      </w:pPr>
      <w:r w:rsidRPr="00776766">
        <w:t>NIELSEN, BROMAN &amp; KOCH, PLLC</w:t>
      </w:r>
    </w:p>
    <w:p w:rsidR="00C779F2" w:rsidRPr="00776766" w:rsidRDefault="00C779F2" w:rsidP="005419CC">
      <w:pPr>
        <w:pStyle w:val="BodyTextIndent"/>
        <w:spacing w:line="240" w:lineRule="auto"/>
        <w:ind w:left="720" w:firstLine="720"/>
        <w:jc w:val="both"/>
      </w:pPr>
      <w:r w:rsidRPr="00776766">
        <w:t>___________________________________</w:t>
      </w:r>
    </w:p>
    <w:p w:rsidR="00C779F2" w:rsidRPr="00776766" w:rsidRDefault="00C779F2" w:rsidP="005419CC">
      <w:pPr>
        <w:pStyle w:val="BodyTextIndent"/>
        <w:spacing w:line="240" w:lineRule="auto"/>
        <w:ind w:left="0" w:firstLine="0"/>
        <w:jc w:val="both"/>
      </w:pPr>
      <w:r w:rsidRPr="00776766">
        <w:tab/>
      </w:r>
      <w:r w:rsidRPr="00776766">
        <w:tab/>
        <w:t>JENNIFER WINKLER, WSBA No. 35220</w:t>
      </w:r>
    </w:p>
    <w:p w:rsidR="00C779F2" w:rsidRPr="00776766" w:rsidRDefault="00C779F2" w:rsidP="005419CC">
      <w:pPr>
        <w:pStyle w:val="BodyTextIndent"/>
        <w:spacing w:line="240" w:lineRule="auto"/>
        <w:ind w:left="90" w:firstLine="0"/>
        <w:jc w:val="both"/>
      </w:pPr>
      <w:r w:rsidRPr="00776766">
        <w:tab/>
      </w:r>
      <w:r w:rsidRPr="00776766">
        <w:tab/>
        <w:t>Office ID No. 91051</w:t>
      </w:r>
    </w:p>
    <w:p w:rsidR="00C779F2" w:rsidRPr="00776766" w:rsidRDefault="00C779F2" w:rsidP="005419CC">
      <w:pPr>
        <w:pStyle w:val="BodyTextIndent"/>
        <w:spacing w:line="240" w:lineRule="auto"/>
        <w:ind w:left="90" w:firstLine="0"/>
        <w:jc w:val="both"/>
      </w:pPr>
    </w:p>
    <w:p w:rsidR="00C779F2" w:rsidRPr="00776766" w:rsidRDefault="00C779F2" w:rsidP="005419CC">
      <w:pPr>
        <w:pStyle w:val="BodyTextIndent"/>
        <w:spacing w:line="240" w:lineRule="auto"/>
        <w:ind w:left="90" w:firstLine="0"/>
        <w:jc w:val="both"/>
      </w:pPr>
      <w:r w:rsidRPr="00776766">
        <w:tab/>
      </w:r>
      <w:r w:rsidRPr="00776766">
        <w:tab/>
        <w:t>Attorneys for Petitioner</w:t>
      </w:r>
      <w:r>
        <w:t xml:space="preserve"> / Cross-Respondent</w:t>
      </w:r>
    </w:p>
    <w:sectPr w:rsidR="00C779F2" w:rsidRPr="00776766" w:rsidSect="00230296">
      <w:pgSz w:w="12240" w:h="15840"/>
      <w:pgMar w:top="2160" w:right="2160" w:bottom="216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F2" w:rsidRDefault="00C779F2">
      <w:r>
        <w:separator/>
      </w:r>
    </w:p>
  </w:endnote>
  <w:endnote w:type="continuationSeparator" w:id="0">
    <w:p w:rsidR="00C779F2" w:rsidRDefault="00C7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9F2" w:rsidRDefault="00C779F2">
    <w:pPr>
      <w:pStyle w:val="Footer"/>
      <w:jc w:val="center"/>
    </w:pPr>
    <w:r>
      <w:t>-</w:t>
    </w:r>
    <w:proofErr w:type="spellStart"/>
    <w:r w:rsidR="00935335">
      <w:rPr>
        <w:noProof/>
      </w:rPr>
      <w:fldChar w:fldCharType="begin"/>
    </w:r>
    <w:r w:rsidR="00935335">
      <w:rPr>
        <w:noProof/>
      </w:rPr>
      <w:instrText xml:space="preserve"> PAGE   \* MERGEFORMAT </w:instrText>
    </w:r>
    <w:r w:rsidR="00935335">
      <w:rPr>
        <w:noProof/>
      </w:rPr>
      <w:fldChar w:fldCharType="separate"/>
    </w:r>
    <w:r w:rsidR="00935335">
      <w:rPr>
        <w:noProof/>
      </w:rPr>
      <w:t>i</w:t>
    </w:r>
    <w:proofErr w:type="spellEnd"/>
    <w:r w:rsidR="00935335">
      <w:rPr>
        <w:noProof/>
      </w:rPr>
      <w:fldChar w:fldCharType="end"/>
    </w:r>
    <w:r>
      <w:rPr>
        <w:noProof/>
      </w:rPr>
      <w:t>-</w:t>
    </w:r>
  </w:p>
  <w:p w:rsidR="00C779F2" w:rsidRDefault="00C7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F2" w:rsidRDefault="00C779F2">
      <w:r>
        <w:separator/>
      </w:r>
    </w:p>
  </w:footnote>
  <w:footnote w:type="continuationSeparator" w:id="0">
    <w:p w:rsidR="00C779F2" w:rsidRDefault="00C779F2">
      <w:r>
        <w:continuationSeparator/>
      </w:r>
    </w:p>
  </w:footnote>
  <w:footnote w:id="1">
    <w:p w:rsidR="00C779F2" w:rsidRPr="00C57B1A" w:rsidRDefault="00C779F2" w:rsidP="00A059C7">
      <w:pPr>
        <w:pStyle w:val="FootnoteText"/>
        <w:jc w:val="both"/>
        <w:rPr>
          <w:sz w:val="22"/>
          <w:szCs w:val="22"/>
        </w:rPr>
      </w:pPr>
      <w:r w:rsidRPr="00C57B1A">
        <w:rPr>
          <w:rStyle w:val="FootnoteReference"/>
          <w:sz w:val="22"/>
          <w:szCs w:val="22"/>
        </w:rPr>
        <w:footnoteRef/>
      </w:r>
      <w:r w:rsidRPr="00C57B1A">
        <w:rPr>
          <w:sz w:val="22"/>
          <w:szCs w:val="22"/>
        </w:rPr>
        <w:t xml:space="preserve"> The petitioner files this brief pursuant to this Court’s July 30, 2018 letter requesting that the parties address the following three questions:</w:t>
      </w:r>
    </w:p>
    <w:p w:rsidR="00C779F2" w:rsidRPr="00C57B1A" w:rsidRDefault="00C779F2" w:rsidP="0067546D">
      <w:pPr>
        <w:pStyle w:val="FootnoteText"/>
        <w:ind w:right="720"/>
        <w:jc w:val="both"/>
        <w:rPr>
          <w:sz w:val="22"/>
          <w:szCs w:val="22"/>
        </w:rPr>
      </w:pPr>
    </w:p>
    <w:p w:rsidR="00C779F2" w:rsidRPr="00C57B1A" w:rsidRDefault="00C779F2" w:rsidP="0067546D">
      <w:pPr>
        <w:pStyle w:val="FootnoteText"/>
        <w:numPr>
          <w:ilvl w:val="0"/>
          <w:numId w:val="10"/>
        </w:numPr>
        <w:ind w:right="720"/>
        <w:jc w:val="both"/>
        <w:rPr>
          <w:sz w:val="22"/>
          <w:szCs w:val="22"/>
        </w:rPr>
      </w:pPr>
      <w:r w:rsidRPr="00C57B1A">
        <w:rPr>
          <w:sz w:val="22"/>
          <w:szCs w:val="22"/>
        </w:rPr>
        <w:t xml:space="preserve">Per the colloquy on October 29, 2015, (VRP, Volume I, October 29, 2015, at pages 21-22) and the Clerk's Minutes (Supp’l CP at 196-197), was a verdict entered on the special verdicts? </w:t>
      </w:r>
    </w:p>
    <w:p w:rsidR="00C779F2" w:rsidRPr="00C57B1A" w:rsidRDefault="00C779F2" w:rsidP="0067546D">
      <w:pPr>
        <w:pStyle w:val="FootnoteText"/>
        <w:ind w:left="1080" w:right="720"/>
        <w:jc w:val="both"/>
        <w:rPr>
          <w:sz w:val="22"/>
          <w:szCs w:val="22"/>
        </w:rPr>
      </w:pPr>
    </w:p>
    <w:p w:rsidR="00C779F2" w:rsidRPr="00C57B1A" w:rsidRDefault="00C779F2" w:rsidP="0067546D">
      <w:pPr>
        <w:pStyle w:val="FootnoteText"/>
        <w:numPr>
          <w:ilvl w:val="0"/>
          <w:numId w:val="10"/>
        </w:numPr>
        <w:ind w:right="720"/>
        <w:jc w:val="both"/>
        <w:rPr>
          <w:sz w:val="22"/>
          <w:szCs w:val="22"/>
        </w:rPr>
      </w:pPr>
      <w:r w:rsidRPr="00C57B1A">
        <w:rPr>
          <w:sz w:val="22"/>
          <w:szCs w:val="22"/>
        </w:rPr>
        <w:t xml:space="preserve">If so, did the court's verdict have a preclusive effect? </w:t>
      </w:r>
    </w:p>
    <w:p w:rsidR="00C779F2" w:rsidRPr="00C57B1A" w:rsidRDefault="00C779F2" w:rsidP="0067546D">
      <w:pPr>
        <w:pStyle w:val="ListParagraph"/>
        <w:ind w:right="720"/>
        <w:rPr>
          <w:sz w:val="22"/>
          <w:szCs w:val="22"/>
        </w:rPr>
      </w:pPr>
    </w:p>
    <w:p w:rsidR="00C779F2" w:rsidRPr="00C57B1A" w:rsidRDefault="00C779F2" w:rsidP="0067546D">
      <w:pPr>
        <w:pStyle w:val="FootnoteText"/>
        <w:numPr>
          <w:ilvl w:val="0"/>
          <w:numId w:val="10"/>
        </w:numPr>
        <w:ind w:right="720"/>
        <w:jc w:val="both"/>
        <w:rPr>
          <w:sz w:val="22"/>
          <w:szCs w:val="22"/>
        </w:rPr>
      </w:pPr>
      <w:r w:rsidRPr="00C57B1A">
        <w:rPr>
          <w:sz w:val="22"/>
          <w:szCs w:val="22"/>
        </w:rPr>
        <w:t>The parties are also invited to address any double jeopardy implications of the trial court’s subsequent empaneling of a second jury to answer the firearm enhancement question.</w:t>
      </w:r>
    </w:p>
    <w:p w:rsidR="00C779F2" w:rsidRPr="00C57B1A" w:rsidRDefault="00C779F2">
      <w:pPr>
        <w:pStyle w:val="FootnoteText"/>
        <w:rPr>
          <w:sz w:val="22"/>
          <w:szCs w:val="22"/>
        </w:rPr>
      </w:pPr>
    </w:p>
    <w:p w:rsidR="00C779F2" w:rsidRDefault="00C779F2">
      <w:pPr>
        <w:pStyle w:val="FootnoteText"/>
      </w:pPr>
    </w:p>
  </w:footnote>
  <w:footnote w:id="2">
    <w:p w:rsidR="00C779F2" w:rsidRDefault="00C779F2" w:rsidP="008D7BAC">
      <w:pPr>
        <w:pStyle w:val="FootnoteText"/>
        <w:jc w:val="both"/>
      </w:pPr>
      <w:r w:rsidRPr="00C57B1A">
        <w:rPr>
          <w:rStyle w:val="FootnoteReference"/>
          <w:sz w:val="22"/>
          <w:szCs w:val="22"/>
        </w:rPr>
        <w:footnoteRef/>
      </w:r>
      <w:r w:rsidRPr="00C57B1A">
        <w:rPr>
          <w:sz w:val="22"/>
          <w:szCs w:val="22"/>
        </w:rPr>
        <w:t xml:space="preserve"> As the jury was instructed, second degree assault was defined as an intentional assault resulting in reckless infliction of substantial bodily harm.  CP 91.</w:t>
      </w:r>
    </w:p>
  </w:footnote>
  <w:footnote w:id="3">
    <w:p w:rsidR="00C779F2" w:rsidRPr="00C57B1A" w:rsidRDefault="00C779F2" w:rsidP="00A70BA8">
      <w:pPr>
        <w:pStyle w:val="FootnoteText"/>
        <w:jc w:val="both"/>
        <w:rPr>
          <w:sz w:val="22"/>
          <w:szCs w:val="22"/>
        </w:rPr>
      </w:pPr>
      <w:r w:rsidRPr="00C57B1A">
        <w:rPr>
          <w:rStyle w:val="FootnoteReference"/>
          <w:sz w:val="22"/>
          <w:szCs w:val="22"/>
        </w:rPr>
        <w:footnoteRef/>
      </w:r>
      <w:r w:rsidRPr="00C57B1A">
        <w:rPr>
          <w:sz w:val="22"/>
          <w:szCs w:val="22"/>
        </w:rPr>
        <w:t xml:space="preserve"> One such manifest necessity is a deadlocked jury.  This occurs only when the trial judge exercises discretion and finds a high degree of necessity for a new trial because the jury is genuinely deadlocked.  </w:t>
      </w:r>
      <w:r>
        <w:fldChar w:fldCharType="begin"/>
      </w:r>
      <w:r>
        <w:instrText xml:space="preserve"> TA \l "</w:instrText>
      </w:r>
      <w:r w:rsidRPr="001E544F">
        <w:rPr>
          <w:sz w:val="22"/>
          <w:szCs w:val="22"/>
          <w:u w:val="single"/>
        </w:rPr>
        <w:instrText>Arizona v. Washington</w:instrText>
      </w:r>
      <w:r w:rsidRPr="001E544F">
        <w:rPr>
          <w:sz w:val="22"/>
          <w:szCs w:val="22"/>
        </w:rPr>
        <w:instrText>, 434 U.S. 497, 503-10, 98 S. Ct. 824, 54 L. Ed.  717 (1978)</w:instrText>
      </w:r>
      <w:r>
        <w:instrText xml:space="preserve">" \s "Arizona v. Washington" \c 8 </w:instrText>
      </w:r>
      <w:r>
        <w:fldChar w:fldCharType="end"/>
      </w:r>
      <w:r w:rsidRPr="00C57B1A">
        <w:rPr>
          <w:sz w:val="22"/>
          <w:szCs w:val="22"/>
          <w:u w:val="single"/>
        </w:rPr>
        <w:t>Arizona v. Washington</w:t>
      </w:r>
      <w:r w:rsidRPr="00C57B1A">
        <w:rPr>
          <w:sz w:val="22"/>
          <w:szCs w:val="22"/>
        </w:rPr>
        <w:t>, 434 U.S. 497, 50</w:t>
      </w:r>
      <w:r>
        <w:rPr>
          <w:sz w:val="22"/>
          <w:szCs w:val="22"/>
        </w:rPr>
        <w:t xml:space="preserve">3-10, 98 S. Ct. 824, 54 L. Ed. 2d </w:t>
      </w:r>
      <w:r w:rsidRPr="00C57B1A">
        <w:rPr>
          <w:sz w:val="22"/>
          <w:szCs w:val="22"/>
        </w:rPr>
        <w:t>717 (1978).</w:t>
      </w:r>
    </w:p>
    <w:p w:rsidR="00C779F2" w:rsidRDefault="00C779F2" w:rsidP="00A70BA8">
      <w:pPr>
        <w:pStyle w:val="FootnoteText"/>
        <w:jc w:val="both"/>
      </w:pPr>
    </w:p>
  </w:footnote>
  <w:footnote w:id="4">
    <w:p w:rsidR="00C779F2" w:rsidRDefault="00C779F2" w:rsidP="006838D6">
      <w:pPr>
        <w:pStyle w:val="FootnoteText"/>
        <w:jc w:val="both"/>
      </w:pPr>
      <w:r w:rsidRPr="00C57B1A">
        <w:rPr>
          <w:rStyle w:val="FootnoteReference"/>
          <w:sz w:val="22"/>
          <w:szCs w:val="22"/>
        </w:rPr>
        <w:footnoteRef/>
      </w:r>
      <w:r w:rsidRPr="00C57B1A">
        <w:rPr>
          <w:sz w:val="22"/>
          <w:szCs w:val="22"/>
        </w:rPr>
        <w:t xml:space="preserve"> The jury had again left the attempted murder form blank, </w:t>
      </w:r>
      <w:r>
        <w:rPr>
          <w:sz w:val="22"/>
          <w:szCs w:val="22"/>
        </w:rPr>
        <w:t>and again convicted</w:t>
      </w:r>
      <w:r w:rsidRPr="00C57B1A">
        <w:rPr>
          <w:sz w:val="22"/>
          <w:szCs w:val="22"/>
        </w:rPr>
        <w:t xml:space="preserve"> Brazzel</w:t>
      </w:r>
      <w:r>
        <w:rPr>
          <w:sz w:val="22"/>
          <w:szCs w:val="22"/>
        </w:rPr>
        <w:fldChar w:fldCharType="begin"/>
      </w:r>
      <w:r>
        <w:rPr>
          <w:sz w:val="22"/>
          <w:szCs w:val="22"/>
        </w:rPr>
        <w:instrText xml:space="preserve"> TA \s "Brazzel" </w:instrText>
      </w:r>
      <w:r>
        <w:rPr>
          <w:sz w:val="22"/>
          <w:szCs w:val="22"/>
        </w:rPr>
        <w:fldChar w:fldCharType="end"/>
      </w:r>
      <w:r w:rsidRPr="00C57B1A">
        <w:rPr>
          <w:sz w:val="22"/>
          <w:szCs w:val="22"/>
        </w:rPr>
        <w:t xml:space="preserve"> of assault.  Holding that charge itself affected the outcome of trial</w:t>
      </w:r>
      <w:r>
        <w:rPr>
          <w:sz w:val="22"/>
          <w:szCs w:val="22"/>
        </w:rPr>
        <w:t xml:space="preserve">, the Ninth Circuit </w:t>
      </w:r>
      <w:r w:rsidRPr="00C57B1A">
        <w:rPr>
          <w:sz w:val="22"/>
          <w:szCs w:val="22"/>
        </w:rPr>
        <w:t>reversed</w:t>
      </w:r>
      <w:r>
        <w:rPr>
          <w:sz w:val="22"/>
          <w:szCs w:val="22"/>
        </w:rPr>
        <w:t xml:space="preserve"> on</w:t>
      </w:r>
      <w:r w:rsidRPr="00C57B1A">
        <w:rPr>
          <w:sz w:val="22"/>
          <w:szCs w:val="22"/>
        </w:rPr>
        <w:t xml:space="preserve"> the lesser charge.  </w:t>
      </w:r>
      <w:r w:rsidRPr="00C57B1A">
        <w:rPr>
          <w:sz w:val="22"/>
          <w:szCs w:val="22"/>
          <w:u w:val="single"/>
        </w:rPr>
        <w:t>Id</w:t>
      </w:r>
      <w:r w:rsidRPr="00C57B1A">
        <w:rPr>
          <w:sz w:val="22"/>
          <w:szCs w:val="22"/>
        </w:rPr>
        <w:t>. at 986-87.</w:t>
      </w:r>
    </w:p>
  </w:footnote>
  <w:footnote w:id="5">
    <w:p w:rsidR="00C779F2" w:rsidRPr="00C57B1A" w:rsidRDefault="00C779F2" w:rsidP="001344ED">
      <w:pPr>
        <w:pStyle w:val="FootnoteText"/>
        <w:rPr>
          <w:sz w:val="22"/>
          <w:szCs w:val="22"/>
        </w:rPr>
      </w:pPr>
      <w:r w:rsidRPr="00C57B1A">
        <w:rPr>
          <w:rStyle w:val="FootnoteReference"/>
          <w:sz w:val="22"/>
          <w:szCs w:val="22"/>
        </w:rPr>
        <w:footnoteRef/>
      </w:r>
      <w:r w:rsidRPr="00C57B1A">
        <w:rPr>
          <w:sz w:val="22"/>
          <w:szCs w:val="22"/>
        </w:rPr>
        <w:t xml:space="preserve"> The term “sentencing factor”</w:t>
      </w:r>
    </w:p>
    <w:p w:rsidR="00C779F2" w:rsidRPr="00C57B1A" w:rsidRDefault="00C779F2" w:rsidP="001344ED">
      <w:pPr>
        <w:pStyle w:val="FootnoteText"/>
        <w:ind w:left="720" w:right="720"/>
        <w:rPr>
          <w:sz w:val="22"/>
          <w:szCs w:val="22"/>
        </w:rPr>
      </w:pPr>
    </w:p>
    <w:p w:rsidR="00C779F2" w:rsidRPr="00C57B1A" w:rsidRDefault="00C779F2" w:rsidP="001344ED">
      <w:pPr>
        <w:pStyle w:val="FootnoteText"/>
        <w:ind w:left="720" w:right="720"/>
        <w:jc w:val="both"/>
        <w:rPr>
          <w:sz w:val="22"/>
          <w:szCs w:val="22"/>
        </w:rPr>
      </w:pPr>
      <w:r w:rsidRPr="00C57B1A">
        <w:rPr>
          <w:sz w:val="22"/>
          <w:szCs w:val="22"/>
        </w:rPr>
        <w:t>appropriately describes a circumstance, which may be either aggravating or mitigating in character, that supports a specific sentence within t</w:t>
      </w:r>
      <w:r>
        <w:rPr>
          <w:sz w:val="22"/>
          <w:szCs w:val="22"/>
        </w:rPr>
        <w:t>he range authorized by the jury’</w:t>
      </w:r>
      <w:r w:rsidRPr="00C57B1A">
        <w:rPr>
          <w:sz w:val="22"/>
          <w:szCs w:val="22"/>
        </w:rPr>
        <w:t>s finding that the defendant is guilty of a particular offense.  On the other hand, when the term “sentence enhancement” is used to describe an increase beyond the maximum authorized statutory sentence, it is the functional equivalent of an element of a greater offense than the one covered by the jury’s guilty verdict.  Indeed, it fits squarely within the usual definition of an “element” of the offense.</w:t>
      </w:r>
    </w:p>
    <w:p w:rsidR="00C779F2" w:rsidRPr="00C57B1A" w:rsidRDefault="00C779F2" w:rsidP="001344ED">
      <w:pPr>
        <w:pStyle w:val="FootnoteText"/>
        <w:rPr>
          <w:sz w:val="22"/>
          <w:szCs w:val="22"/>
        </w:rPr>
      </w:pPr>
    </w:p>
    <w:p w:rsidR="00C779F2" w:rsidRDefault="00C779F2" w:rsidP="001344ED">
      <w:pPr>
        <w:pStyle w:val="FootnoteText"/>
      </w:pPr>
      <w:r w:rsidRPr="00C57B1A">
        <w:rPr>
          <w:sz w:val="22"/>
          <w:szCs w:val="22"/>
          <w:u w:val="single"/>
        </w:rPr>
        <w:t>Apprendi</w:t>
      </w:r>
      <w:r>
        <w:rPr>
          <w:sz w:val="22"/>
          <w:szCs w:val="22"/>
          <w:u w:val="single"/>
        </w:rPr>
        <w:fldChar w:fldCharType="begin"/>
      </w:r>
      <w:r>
        <w:rPr>
          <w:sz w:val="22"/>
          <w:szCs w:val="22"/>
          <w:u w:val="single"/>
        </w:rPr>
        <w:instrText xml:space="preserve"> TA \s "Apprendi" </w:instrText>
      </w:r>
      <w:r>
        <w:rPr>
          <w:sz w:val="22"/>
          <w:szCs w:val="22"/>
          <w:u w:val="single"/>
        </w:rPr>
        <w:fldChar w:fldCharType="end"/>
      </w:r>
      <w:r w:rsidRPr="00C57B1A">
        <w:rPr>
          <w:sz w:val="22"/>
          <w:szCs w:val="22"/>
        </w:rPr>
        <w:t xml:space="preserve">, 530 U.S. 494 n. 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4B8"/>
    <w:multiLevelType w:val="hybridMultilevel"/>
    <w:tmpl w:val="206E6BAE"/>
    <w:lvl w:ilvl="0" w:tplc="D4C63D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782685"/>
    <w:multiLevelType w:val="hybridMultilevel"/>
    <w:tmpl w:val="ECD4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D5E67"/>
    <w:multiLevelType w:val="hybridMultilevel"/>
    <w:tmpl w:val="9CEEF4F6"/>
    <w:lvl w:ilvl="0" w:tplc="A89E64F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207D1A01"/>
    <w:multiLevelType w:val="hybridMultilevel"/>
    <w:tmpl w:val="7D06D37C"/>
    <w:lvl w:ilvl="0" w:tplc="82B019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21A7574"/>
    <w:multiLevelType w:val="hybridMultilevel"/>
    <w:tmpl w:val="8CDE9F84"/>
    <w:lvl w:ilvl="0" w:tplc="41407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4713403"/>
    <w:multiLevelType w:val="hybridMultilevel"/>
    <w:tmpl w:val="3C469ABA"/>
    <w:lvl w:ilvl="0" w:tplc="04090015">
      <w:start w:val="4"/>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0615EE"/>
    <w:multiLevelType w:val="hybridMultilevel"/>
    <w:tmpl w:val="A790B026"/>
    <w:lvl w:ilvl="0" w:tplc="241E1E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1147D69"/>
    <w:multiLevelType w:val="hybridMultilevel"/>
    <w:tmpl w:val="EE500CA4"/>
    <w:lvl w:ilvl="0" w:tplc="11BCD140">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6A23406"/>
    <w:multiLevelType w:val="hybridMultilevel"/>
    <w:tmpl w:val="A1886C4E"/>
    <w:lvl w:ilvl="0" w:tplc="86F4CF7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79D770C9"/>
    <w:multiLevelType w:val="hybridMultilevel"/>
    <w:tmpl w:val="5C5CC6D6"/>
    <w:lvl w:ilvl="0" w:tplc="16762B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5"/>
  </w:num>
  <w:num w:numId="6">
    <w:abstractNumId w:val="2"/>
  </w:num>
  <w:num w:numId="7">
    <w:abstractNumId w:val="9"/>
  </w:num>
  <w:num w:numId="8">
    <w:abstractNumId w:val="3"/>
  </w:num>
  <w:num w:numId="9">
    <w:abstractNumId w:val="4"/>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B"/>
    <w:rsid w:val="00004564"/>
    <w:rsid w:val="000073DA"/>
    <w:rsid w:val="00011AA1"/>
    <w:rsid w:val="00013CF4"/>
    <w:rsid w:val="00024549"/>
    <w:rsid w:val="00027C9D"/>
    <w:rsid w:val="0003081F"/>
    <w:rsid w:val="0005675B"/>
    <w:rsid w:val="00060D6E"/>
    <w:rsid w:val="00062C98"/>
    <w:rsid w:val="0006437F"/>
    <w:rsid w:val="00072DBB"/>
    <w:rsid w:val="000743C1"/>
    <w:rsid w:val="00080189"/>
    <w:rsid w:val="000826F0"/>
    <w:rsid w:val="000832B9"/>
    <w:rsid w:val="0009041A"/>
    <w:rsid w:val="00097E45"/>
    <w:rsid w:val="000A2E88"/>
    <w:rsid w:val="000A45D6"/>
    <w:rsid w:val="000A6165"/>
    <w:rsid w:val="000B7F9E"/>
    <w:rsid w:val="000C0973"/>
    <w:rsid w:val="000C285A"/>
    <w:rsid w:val="000C6C65"/>
    <w:rsid w:val="000D0D62"/>
    <w:rsid w:val="000D26EB"/>
    <w:rsid w:val="000D6A8E"/>
    <w:rsid w:val="000E4781"/>
    <w:rsid w:val="000F175B"/>
    <w:rsid w:val="000F380A"/>
    <w:rsid w:val="00115754"/>
    <w:rsid w:val="00122363"/>
    <w:rsid w:val="001245E6"/>
    <w:rsid w:val="001316AA"/>
    <w:rsid w:val="0013183D"/>
    <w:rsid w:val="001334DB"/>
    <w:rsid w:val="0013389C"/>
    <w:rsid w:val="001344ED"/>
    <w:rsid w:val="00137BC4"/>
    <w:rsid w:val="00141D4C"/>
    <w:rsid w:val="00145C59"/>
    <w:rsid w:val="00154867"/>
    <w:rsid w:val="00160358"/>
    <w:rsid w:val="00162C90"/>
    <w:rsid w:val="00171D0B"/>
    <w:rsid w:val="00175938"/>
    <w:rsid w:val="00180A7C"/>
    <w:rsid w:val="001840C1"/>
    <w:rsid w:val="0018650B"/>
    <w:rsid w:val="00196A33"/>
    <w:rsid w:val="001A3F86"/>
    <w:rsid w:val="001B688C"/>
    <w:rsid w:val="001C1016"/>
    <w:rsid w:val="001C4AF5"/>
    <w:rsid w:val="001D1BDD"/>
    <w:rsid w:val="001E544F"/>
    <w:rsid w:val="001F0644"/>
    <w:rsid w:val="001F120D"/>
    <w:rsid w:val="001F3EB3"/>
    <w:rsid w:val="002050FE"/>
    <w:rsid w:val="0020632B"/>
    <w:rsid w:val="00207D5C"/>
    <w:rsid w:val="00221E37"/>
    <w:rsid w:val="002232AD"/>
    <w:rsid w:val="00223990"/>
    <w:rsid w:val="00230076"/>
    <w:rsid w:val="00230296"/>
    <w:rsid w:val="00230984"/>
    <w:rsid w:val="002413EE"/>
    <w:rsid w:val="0024575F"/>
    <w:rsid w:val="002561DD"/>
    <w:rsid w:val="00262CEC"/>
    <w:rsid w:val="002859EA"/>
    <w:rsid w:val="00287CAF"/>
    <w:rsid w:val="00290877"/>
    <w:rsid w:val="0029279B"/>
    <w:rsid w:val="002941A6"/>
    <w:rsid w:val="0029519E"/>
    <w:rsid w:val="002A0FE3"/>
    <w:rsid w:val="002B18A3"/>
    <w:rsid w:val="002B3A82"/>
    <w:rsid w:val="002C209F"/>
    <w:rsid w:val="002E7A72"/>
    <w:rsid w:val="002F184B"/>
    <w:rsid w:val="002F3BF0"/>
    <w:rsid w:val="002F5891"/>
    <w:rsid w:val="003032EF"/>
    <w:rsid w:val="00304A47"/>
    <w:rsid w:val="003158D9"/>
    <w:rsid w:val="003344D2"/>
    <w:rsid w:val="00334EC0"/>
    <w:rsid w:val="003354DF"/>
    <w:rsid w:val="0034670E"/>
    <w:rsid w:val="00346DBD"/>
    <w:rsid w:val="00346DD1"/>
    <w:rsid w:val="0034745D"/>
    <w:rsid w:val="00364692"/>
    <w:rsid w:val="00366681"/>
    <w:rsid w:val="00366EFC"/>
    <w:rsid w:val="0037420E"/>
    <w:rsid w:val="00384639"/>
    <w:rsid w:val="003941B8"/>
    <w:rsid w:val="003949AF"/>
    <w:rsid w:val="003956E8"/>
    <w:rsid w:val="003A14CC"/>
    <w:rsid w:val="003A5430"/>
    <w:rsid w:val="003B31D7"/>
    <w:rsid w:val="003C146B"/>
    <w:rsid w:val="003C51DF"/>
    <w:rsid w:val="003D2081"/>
    <w:rsid w:val="003D53ED"/>
    <w:rsid w:val="003D55DD"/>
    <w:rsid w:val="003D6FAF"/>
    <w:rsid w:val="003E2206"/>
    <w:rsid w:val="003E7D8D"/>
    <w:rsid w:val="003E7F48"/>
    <w:rsid w:val="003F4A5C"/>
    <w:rsid w:val="003F5035"/>
    <w:rsid w:val="003F5108"/>
    <w:rsid w:val="00411881"/>
    <w:rsid w:val="00422FBB"/>
    <w:rsid w:val="004253D7"/>
    <w:rsid w:val="004305A3"/>
    <w:rsid w:val="00436259"/>
    <w:rsid w:val="00443D31"/>
    <w:rsid w:val="0045257B"/>
    <w:rsid w:val="00452A1A"/>
    <w:rsid w:val="004570DB"/>
    <w:rsid w:val="004617ED"/>
    <w:rsid w:val="004660F4"/>
    <w:rsid w:val="00474607"/>
    <w:rsid w:val="00484A03"/>
    <w:rsid w:val="00485491"/>
    <w:rsid w:val="004A00D4"/>
    <w:rsid w:val="004C0544"/>
    <w:rsid w:val="004C12AD"/>
    <w:rsid w:val="004C6484"/>
    <w:rsid w:val="004C6D87"/>
    <w:rsid w:val="004D08B4"/>
    <w:rsid w:val="004E1D84"/>
    <w:rsid w:val="004E2B7A"/>
    <w:rsid w:val="004E46C7"/>
    <w:rsid w:val="004E6A95"/>
    <w:rsid w:val="004F333A"/>
    <w:rsid w:val="004F3D55"/>
    <w:rsid w:val="00514F5C"/>
    <w:rsid w:val="00516D66"/>
    <w:rsid w:val="005220F5"/>
    <w:rsid w:val="00530348"/>
    <w:rsid w:val="00532513"/>
    <w:rsid w:val="00535733"/>
    <w:rsid w:val="00540C4C"/>
    <w:rsid w:val="00541858"/>
    <w:rsid w:val="005419CC"/>
    <w:rsid w:val="005420CD"/>
    <w:rsid w:val="00553286"/>
    <w:rsid w:val="005543BE"/>
    <w:rsid w:val="005544CA"/>
    <w:rsid w:val="0055480E"/>
    <w:rsid w:val="0055635B"/>
    <w:rsid w:val="00567425"/>
    <w:rsid w:val="00570F2C"/>
    <w:rsid w:val="00571170"/>
    <w:rsid w:val="0057342B"/>
    <w:rsid w:val="005850E2"/>
    <w:rsid w:val="005A3D78"/>
    <w:rsid w:val="005A6C85"/>
    <w:rsid w:val="005B1DD5"/>
    <w:rsid w:val="005C64E1"/>
    <w:rsid w:val="005C71E8"/>
    <w:rsid w:val="005C72B4"/>
    <w:rsid w:val="005D04AB"/>
    <w:rsid w:val="006003B6"/>
    <w:rsid w:val="006017C8"/>
    <w:rsid w:val="00620C8A"/>
    <w:rsid w:val="006355E2"/>
    <w:rsid w:val="00640DD3"/>
    <w:rsid w:val="00641833"/>
    <w:rsid w:val="006659FD"/>
    <w:rsid w:val="006708E8"/>
    <w:rsid w:val="00674744"/>
    <w:rsid w:val="006751CE"/>
    <w:rsid w:val="0067546D"/>
    <w:rsid w:val="006766E8"/>
    <w:rsid w:val="00677CB2"/>
    <w:rsid w:val="006838D6"/>
    <w:rsid w:val="0069569F"/>
    <w:rsid w:val="006B041C"/>
    <w:rsid w:val="006B4189"/>
    <w:rsid w:val="006C006B"/>
    <w:rsid w:val="006C5F20"/>
    <w:rsid w:val="006D26E6"/>
    <w:rsid w:val="006D3E90"/>
    <w:rsid w:val="006E4021"/>
    <w:rsid w:val="006E47DF"/>
    <w:rsid w:val="006E6112"/>
    <w:rsid w:val="006E7272"/>
    <w:rsid w:val="006E770B"/>
    <w:rsid w:val="006F3325"/>
    <w:rsid w:val="006F69D5"/>
    <w:rsid w:val="006F7331"/>
    <w:rsid w:val="00706B9B"/>
    <w:rsid w:val="00707161"/>
    <w:rsid w:val="00714421"/>
    <w:rsid w:val="00716758"/>
    <w:rsid w:val="00722C66"/>
    <w:rsid w:val="00727ED1"/>
    <w:rsid w:val="00731D5E"/>
    <w:rsid w:val="00737D8F"/>
    <w:rsid w:val="00743E15"/>
    <w:rsid w:val="0076209D"/>
    <w:rsid w:val="00765C9E"/>
    <w:rsid w:val="00766600"/>
    <w:rsid w:val="00776766"/>
    <w:rsid w:val="0078097F"/>
    <w:rsid w:val="00780F10"/>
    <w:rsid w:val="007922D3"/>
    <w:rsid w:val="007953DE"/>
    <w:rsid w:val="007A3496"/>
    <w:rsid w:val="007A7E2A"/>
    <w:rsid w:val="007B20FB"/>
    <w:rsid w:val="007D0D12"/>
    <w:rsid w:val="007D538E"/>
    <w:rsid w:val="007E0546"/>
    <w:rsid w:val="007E0BB1"/>
    <w:rsid w:val="007E1534"/>
    <w:rsid w:val="007E3369"/>
    <w:rsid w:val="007F14E8"/>
    <w:rsid w:val="007F1C00"/>
    <w:rsid w:val="00820199"/>
    <w:rsid w:val="00820827"/>
    <w:rsid w:val="00820FEE"/>
    <w:rsid w:val="008219C6"/>
    <w:rsid w:val="00833969"/>
    <w:rsid w:val="00850410"/>
    <w:rsid w:val="00851540"/>
    <w:rsid w:val="00865D6D"/>
    <w:rsid w:val="00876E38"/>
    <w:rsid w:val="0087780C"/>
    <w:rsid w:val="00881E1E"/>
    <w:rsid w:val="00883563"/>
    <w:rsid w:val="00883AAB"/>
    <w:rsid w:val="008844F7"/>
    <w:rsid w:val="008870FD"/>
    <w:rsid w:val="00887370"/>
    <w:rsid w:val="008905F4"/>
    <w:rsid w:val="00897DE4"/>
    <w:rsid w:val="008A29A6"/>
    <w:rsid w:val="008A48DB"/>
    <w:rsid w:val="008C5DF4"/>
    <w:rsid w:val="008D7BAC"/>
    <w:rsid w:val="008E733F"/>
    <w:rsid w:val="008F19BB"/>
    <w:rsid w:val="008F2BE6"/>
    <w:rsid w:val="008F45D4"/>
    <w:rsid w:val="008F6417"/>
    <w:rsid w:val="00900E72"/>
    <w:rsid w:val="009020EA"/>
    <w:rsid w:val="00907017"/>
    <w:rsid w:val="0091754A"/>
    <w:rsid w:val="00920F83"/>
    <w:rsid w:val="00921115"/>
    <w:rsid w:val="00921434"/>
    <w:rsid w:val="00923CE5"/>
    <w:rsid w:val="00927E03"/>
    <w:rsid w:val="00927FB1"/>
    <w:rsid w:val="00931D1A"/>
    <w:rsid w:val="00935335"/>
    <w:rsid w:val="00935F49"/>
    <w:rsid w:val="00941D5C"/>
    <w:rsid w:val="0094484B"/>
    <w:rsid w:val="00944B3B"/>
    <w:rsid w:val="00945B92"/>
    <w:rsid w:val="0094642B"/>
    <w:rsid w:val="00946EA3"/>
    <w:rsid w:val="00947509"/>
    <w:rsid w:val="00957113"/>
    <w:rsid w:val="00961D86"/>
    <w:rsid w:val="00972A79"/>
    <w:rsid w:val="00983C92"/>
    <w:rsid w:val="00984EDC"/>
    <w:rsid w:val="00987213"/>
    <w:rsid w:val="00992047"/>
    <w:rsid w:val="00994A38"/>
    <w:rsid w:val="009A2BC9"/>
    <w:rsid w:val="009C7E0E"/>
    <w:rsid w:val="009D571C"/>
    <w:rsid w:val="009E306C"/>
    <w:rsid w:val="009E4DF9"/>
    <w:rsid w:val="009E5C0A"/>
    <w:rsid w:val="009F1666"/>
    <w:rsid w:val="00A035B8"/>
    <w:rsid w:val="00A059C7"/>
    <w:rsid w:val="00A06E84"/>
    <w:rsid w:val="00A11598"/>
    <w:rsid w:val="00A14B13"/>
    <w:rsid w:val="00A22666"/>
    <w:rsid w:val="00A4087E"/>
    <w:rsid w:val="00A42997"/>
    <w:rsid w:val="00A43B89"/>
    <w:rsid w:val="00A50986"/>
    <w:rsid w:val="00A51341"/>
    <w:rsid w:val="00A529DD"/>
    <w:rsid w:val="00A549D3"/>
    <w:rsid w:val="00A555C5"/>
    <w:rsid w:val="00A55D68"/>
    <w:rsid w:val="00A57199"/>
    <w:rsid w:val="00A64E84"/>
    <w:rsid w:val="00A70BA8"/>
    <w:rsid w:val="00A73041"/>
    <w:rsid w:val="00A76830"/>
    <w:rsid w:val="00A82BDC"/>
    <w:rsid w:val="00A83DF1"/>
    <w:rsid w:val="00A971EF"/>
    <w:rsid w:val="00AA0C3D"/>
    <w:rsid w:val="00AA25BF"/>
    <w:rsid w:val="00AA58BA"/>
    <w:rsid w:val="00AB39AC"/>
    <w:rsid w:val="00AC5288"/>
    <w:rsid w:val="00AD31B3"/>
    <w:rsid w:val="00AD4CEB"/>
    <w:rsid w:val="00AE3C07"/>
    <w:rsid w:val="00AE6BDC"/>
    <w:rsid w:val="00AF3177"/>
    <w:rsid w:val="00B01D37"/>
    <w:rsid w:val="00B11DDA"/>
    <w:rsid w:val="00B15203"/>
    <w:rsid w:val="00B20E16"/>
    <w:rsid w:val="00B23144"/>
    <w:rsid w:val="00B266F9"/>
    <w:rsid w:val="00B26A3D"/>
    <w:rsid w:val="00B35ACE"/>
    <w:rsid w:val="00B42762"/>
    <w:rsid w:val="00B51307"/>
    <w:rsid w:val="00B5163A"/>
    <w:rsid w:val="00B54EA5"/>
    <w:rsid w:val="00B556B1"/>
    <w:rsid w:val="00B56CA8"/>
    <w:rsid w:val="00B628D0"/>
    <w:rsid w:val="00B74458"/>
    <w:rsid w:val="00B83545"/>
    <w:rsid w:val="00B83F36"/>
    <w:rsid w:val="00B974C3"/>
    <w:rsid w:val="00BA2FC4"/>
    <w:rsid w:val="00BB1696"/>
    <w:rsid w:val="00BB660B"/>
    <w:rsid w:val="00BE0E92"/>
    <w:rsid w:val="00BE22DA"/>
    <w:rsid w:val="00BE4FBA"/>
    <w:rsid w:val="00BE7F39"/>
    <w:rsid w:val="00BF2A0F"/>
    <w:rsid w:val="00BF4CBC"/>
    <w:rsid w:val="00BF63BE"/>
    <w:rsid w:val="00C0110E"/>
    <w:rsid w:val="00C02061"/>
    <w:rsid w:val="00C07526"/>
    <w:rsid w:val="00C1294C"/>
    <w:rsid w:val="00C23E68"/>
    <w:rsid w:val="00C2547D"/>
    <w:rsid w:val="00C4571E"/>
    <w:rsid w:val="00C57B1A"/>
    <w:rsid w:val="00C57DC6"/>
    <w:rsid w:val="00C61F82"/>
    <w:rsid w:val="00C7310D"/>
    <w:rsid w:val="00C77548"/>
    <w:rsid w:val="00C779F2"/>
    <w:rsid w:val="00C80416"/>
    <w:rsid w:val="00C81AD2"/>
    <w:rsid w:val="00C86992"/>
    <w:rsid w:val="00C91B76"/>
    <w:rsid w:val="00C97496"/>
    <w:rsid w:val="00CA1276"/>
    <w:rsid w:val="00CB65AB"/>
    <w:rsid w:val="00CC4DE9"/>
    <w:rsid w:val="00CC5C48"/>
    <w:rsid w:val="00CC7023"/>
    <w:rsid w:val="00CD7927"/>
    <w:rsid w:val="00CE48C7"/>
    <w:rsid w:val="00CF4B38"/>
    <w:rsid w:val="00D04A92"/>
    <w:rsid w:val="00D04D25"/>
    <w:rsid w:val="00D1087D"/>
    <w:rsid w:val="00D16D26"/>
    <w:rsid w:val="00D23D0E"/>
    <w:rsid w:val="00D45E33"/>
    <w:rsid w:val="00D51989"/>
    <w:rsid w:val="00D5330C"/>
    <w:rsid w:val="00D75A50"/>
    <w:rsid w:val="00D775E2"/>
    <w:rsid w:val="00D835A8"/>
    <w:rsid w:val="00DB5564"/>
    <w:rsid w:val="00DB6ED0"/>
    <w:rsid w:val="00DC0F33"/>
    <w:rsid w:val="00DC7A8D"/>
    <w:rsid w:val="00DD0BBA"/>
    <w:rsid w:val="00DD578B"/>
    <w:rsid w:val="00DE4ABC"/>
    <w:rsid w:val="00DE5247"/>
    <w:rsid w:val="00DF1E47"/>
    <w:rsid w:val="00DF7EF0"/>
    <w:rsid w:val="00E004C5"/>
    <w:rsid w:val="00E03315"/>
    <w:rsid w:val="00E10E0C"/>
    <w:rsid w:val="00E11F7B"/>
    <w:rsid w:val="00E17671"/>
    <w:rsid w:val="00E21D88"/>
    <w:rsid w:val="00E226AE"/>
    <w:rsid w:val="00E22A5A"/>
    <w:rsid w:val="00E3271E"/>
    <w:rsid w:val="00E34453"/>
    <w:rsid w:val="00E36314"/>
    <w:rsid w:val="00E374D7"/>
    <w:rsid w:val="00E45372"/>
    <w:rsid w:val="00E45AB8"/>
    <w:rsid w:val="00E5414C"/>
    <w:rsid w:val="00E55FF5"/>
    <w:rsid w:val="00E567A5"/>
    <w:rsid w:val="00E76822"/>
    <w:rsid w:val="00E80509"/>
    <w:rsid w:val="00E85A61"/>
    <w:rsid w:val="00E915CD"/>
    <w:rsid w:val="00E9351F"/>
    <w:rsid w:val="00E95078"/>
    <w:rsid w:val="00E96008"/>
    <w:rsid w:val="00E96BF0"/>
    <w:rsid w:val="00EA040C"/>
    <w:rsid w:val="00EA69F1"/>
    <w:rsid w:val="00EB21B1"/>
    <w:rsid w:val="00EB42FB"/>
    <w:rsid w:val="00EB4E2D"/>
    <w:rsid w:val="00EB7351"/>
    <w:rsid w:val="00EC406C"/>
    <w:rsid w:val="00EC5899"/>
    <w:rsid w:val="00ED1B4E"/>
    <w:rsid w:val="00ED4BBC"/>
    <w:rsid w:val="00ED4FDD"/>
    <w:rsid w:val="00EE68C0"/>
    <w:rsid w:val="00EE7C9E"/>
    <w:rsid w:val="00EF6662"/>
    <w:rsid w:val="00F02DDF"/>
    <w:rsid w:val="00F040E5"/>
    <w:rsid w:val="00F07540"/>
    <w:rsid w:val="00F12A3B"/>
    <w:rsid w:val="00F13DC3"/>
    <w:rsid w:val="00F15AD0"/>
    <w:rsid w:val="00F21430"/>
    <w:rsid w:val="00F2305A"/>
    <w:rsid w:val="00F243C4"/>
    <w:rsid w:val="00F26F71"/>
    <w:rsid w:val="00F300AE"/>
    <w:rsid w:val="00F32BEF"/>
    <w:rsid w:val="00F3746F"/>
    <w:rsid w:val="00F40231"/>
    <w:rsid w:val="00F4198E"/>
    <w:rsid w:val="00F50716"/>
    <w:rsid w:val="00F52355"/>
    <w:rsid w:val="00F5450A"/>
    <w:rsid w:val="00F6544B"/>
    <w:rsid w:val="00F72EA8"/>
    <w:rsid w:val="00F73408"/>
    <w:rsid w:val="00F75376"/>
    <w:rsid w:val="00F77809"/>
    <w:rsid w:val="00FB57CC"/>
    <w:rsid w:val="00FC0A8B"/>
    <w:rsid w:val="00FC7A83"/>
    <w:rsid w:val="00FD02E6"/>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8C6326-E960-4969-B8B1-55820BC9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341"/>
    <w:rPr>
      <w:sz w:val="24"/>
      <w:szCs w:val="24"/>
    </w:rPr>
  </w:style>
  <w:style w:type="paragraph" w:styleId="Heading1">
    <w:name w:val="heading 1"/>
    <w:basedOn w:val="Normal"/>
    <w:next w:val="Normal"/>
    <w:link w:val="Heading1Char"/>
    <w:uiPriority w:val="99"/>
    <w:qFormat/>
    <w:rsid w:val="00A51341"/>
    <w:pPr>
      <w:keepNext/>
      <w:suppressAutoHyphens/>
      <w:jc w:val="both"/>
      <w:outlineLvl w:val="0"/>
    </w:pPr>
    <w:rPr>
      <w:b/>
      <w:bCs/>
      <w:spacing w:val="-3"/>
    </w:rPr>
  </w:style>
  <w:style w:type="paragraph" w:styleId="Heading2">
    <w:name w:val="heading 2"/>
    <w:basedOn w:val="Normal"/>
    <w:next w:val="Normal"/>
    <w:link w:val="Heading2Char"/>
    <w:uiPriority w:val="99"/>
    <w:qFormat/>
    <w:rsid w:val="00A51341"/>
    <w:pPr>
      <w:outlineLvl w:val="1"/>
    </w:pPr>
    <w:rPr>
      <w:szCs w:val="20"/>
    </w:rPr>
  </w:style>
  <w:style w:type="paragraph" w:styleId="Heading3">
    <w:name w:val="heading 3"/>
    <w:basedOn w:val="Normal"/>
    <w:next w:val="Normal"/>
    <w:link w:val="Heading3Char"/>
    <w:uiPriority w:val="99"/>
    <w:qFormat/>
    <w:rsid w:val="00A51341"/>
    <w:pPr>
      <w:outlineLvl w:val="2"/>
    </w:pPr>
    <w:rPr>
      <w:rFonts w:ascii="Courier" w:hAnsi="Courier"/>
      <w:szCs w:val="20"/>
    </w:rPr>
  </w:style>
  <w:style w:type="paragraph" w:styleId="Heading4">
    <w:name w:val="heading 4"/>
    <w:basedOn w:val="Normal"/>
    <w:next w:val="Normal"/>
    <w:link w:val="Heading4Char"/>
    <w:uiPriority w:val="99"/>
    <w:qFormat/>
    <w:rsid w:val="00A51341"/>
    <w:pPr>
      <w:outlineLvl w:val="3"/>
    </w:pPr>
    <w:rPr>
      <w:rFonts w:ascii="Courier" w:hAnsi="Courier"/>
      <w:szCs w:val="20"/>
    </w:rPr>
  </w:style>
  <w:style w:type="paragraph" w:styleId="Heading5">
    <w:name w:val="heading 5"/>
    <w:basedOn w:val="Normal"/>
    <w:next w:val="Normal"/>
    <w:link w:val="Heading5Char"/>
    <w:uiPriority w:val="99"/>
    <w:qFormat/>
    <w:rsid w:val="00A51341"/>
    <w:pPr>
      <w:outlineLvl w:val="4"/>
    </w:pPr>
    <w:rPr>
      <w:rFonts w:ascii="Courier" w:hAnsi="Courier"/>
      <w:szCs w:val="20"/>
    </w:rPr>
  </w:style>
  <w:style w:type="paragraph" w:styleId="Heading6">
    <w:name w:val="heading 6"/>
    <w:basedOn w:val="Normal"/>
    <w:next w:val="Normal"/>
    <w:link w:val="Heading6Char"/>
    <w:uiPriority w:val="99"/>
    <w:qFormat/>
    <w:rsid w:val="00A51341"/>
    <w:pPr>
      <w:outlineLvl w:val="5"/>
    </w:pPr>
    <w:rPr>
      <w:rFonts w:ascii="Courier" w:hAnsi="Courier"/>
      <w:szCs w:val="20"/>
    </w:rPr>
  </w:style>
  <w:style w:type="paragraph" w:styleId="Heading7">
    <w:name w:val="heading 7"/>
    <w:basedOn w:val="Normal"/>
    <w:next w:val="Normal"/>
    <w:link w:val="Heading7Char"/>
    <w:uiPriority w:val="99"/>
    <w:qFormat/>
    <w:rsid w:val="00A51341"/>
    <w:pPr>
      <w:outlineLvl w:val="6"/>
    </w:pPr>
    <w:rPr>
      <w:rFonts w:ascii="Courier" w:hAnsi="Courier"/>
      <w:szCs w:val="20"/>
    </w:rPr>
  </w:style>
  <w:style w:type="paragraph" w:styleId="Heading8">
    <w:name w:val="heading 8"/>
    <w:basedOn w:val="Normal"/>
    <w:next w:val="Normal"/>
    <w:link w:val="Heading8Char"/>
    <w:uiPriority w:val="99"/>
    <w:qFormat/>
    <w:rsid w:val="00A51341"/>
    <w:p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styleId="BodyTextIndent">
    <w:name w:val="Body Text Indent"/>
    <w:basedOn w:val="Normal"/>
    <w:link w:val="BodyTextIndentChar"/>
    <w:uiPriority w:val="99"/>
    <w:rsid w:val="00A51341"/>
    <w:pPr>
      <w:spacing w:line="480" w:lineRule="auto"/>
      <w:ind w:left="360" w:firstLine="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A51341"/>
    <w:pPr>
      <w:spacing w:line="480" w:lineRule="auto"/>
      <w:ind w:firstLine="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FootnoteText">
    <w:name w:val="footnote text"/>
    <w:basedOn w:val="Normal"/>
    <w:link w:val="FootnoteTextChar"/>
    <w:uiPriority w:val="99"/>
    <w:rsid w:val="00A51341"/>
    <w:rPr>
      <w:sz w:val="20"/>
      <w:szCs w:val="20"/>
    </w:rPr>
  </w:style>
  <w:style w:type="character" w:customStyle="1" w:styleId="FootnoteTextChar">
    <w:name w:val="Footnote Text Char"/>
    <w:basedOn w:val="DefaultParagraphFont"/>
    <w:link w:val="FootnoteText"/>
    <w:uiPriority w:val="99"/>
    <w:locked/>
    <w:rsid w:val="00ED4BBC"/>
    <w:rPr>
      <w:rFonts w:cs="Times New Roman"/>
    </w:rPr>
  </w:style>
  <w:style w:type="character" w:styleId="FootnoteReference">
    <w:name w:val="footnote reference"/>
    <w:basedOn w:val="DefaultParagraphFont"/>
    <w:uiPriority w:val="99"/>
    <w:semiHidden/>
    <w:rsid w:val="00A51341"/>
    <w:rPr>
      <w:rFonts w:cs="Times New Roman"/>
      <w:vertAlign w:val="superscript"/>
    </w:rPr>
  </w:style>
  <w:style w:type="paragraph" w:styleId="BodyText3">
    <w:name w:val="Body Text 3"/>
    <w:basedOn w:val="Normal"/>
    <w:link w:val="BodyText3Char"/>
    <w:uiPriority w:val="99"/>
    <w:rsid w:val="00A51341"/>
    <w:pPr>
      <w:spacing w:line="480" w:lineRule="auto"/>
      <w:jc w:val="both"/>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A51341"/>
    <w:pPr>
      <w:spacing w:line="480" w:lineRule="auto"/>
      <w:ind w:firstLine="72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searchterm">
    <w:name w:val="searchterm"/>
    <w:basedOn w:val="DefaultParagraphFont"/>
    <w:uiPriority w:val="99"/>
    <w:rsid w:val="00A51341"/>
    <w:rPr>
      <w:rFonts w:cs="Times New Roman"/>
    </w:rPr>
  </w:style>
  <w:style w:type="paragraph" w:styleId="BlockText">
    <w:name w:val="Block Text"/>
    <w:basedOn w:val="Normal"/>
    <w:uiPriority w:val="99"/>
    <w:rsid w:val="00A51341"/>
    <w:pPr>
      <w:ind w:left="720" w:right="720" w:firstLine="720"/>
    </w:pPr>
  </w:style>
  <w:style w:type="paragraph" w:styleId="BodyText">
    <w:name w:val="Body Text"/>
    <w:basedOn w:val="Normal"/>
    <w:link w:val="BodyTextChar"/>
    <w:uiPriority w:val="99"/>
    <w:rsid w:val="00A51341"/>
    <w:pPr>
      <w:tabs>
        <w:tab w:val="left" w:pos="-1440"/>
        <w:tab w:val="left" w:pos="-720"/>
        <w:tab w:val="left" w:pos="0"/>
        <w:tab w:val="left" w:pos="682"/>
        <w:tab w:val="left" w:pos="1318"/>
        <w:tab w:val="left" w:pos="2081"/>
        <w:tab w:val="left" w:pos="2844"/>
        <w:tab w:val="left" w:pos="3480"/>
        <w:tab w:val="left" w:pos="4320"/>
      </w:tabs>
      <w:suppressAutoHyphens/>
      <w:spacing w:line="480" w:lineRule="auto"/>
      <w:jc w:val="both"/>
    </w:pPr>
    <w:rPr>
      <w:spacing w:val="-3"/>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RightPar1">
    <w:name w:val="Right Par[1]"/>
    <w:uiPriority w:val="99"/>
    <w:rsid w:val="00A51341"/>
    <w:pPr>
      <w:tabs>
        <w:tab w:val="left" w:pos="-720"/>
        <w:tab w:val="left" w:pos="0"/>
        <w:tab w:val="decimal" w:pos="720"/>
      </w:tabs>
      <w:suppressAutoHyphens/>
      <w:ind w:firstLine="720"/>
    </w:pPr>
    <w:rPr>
      <w:rFonts w:ascii="Courier" w:hAnsi="Courier"/>
      <w:sz w:val="24"/>
      <w:szCs w:val="20"/>
    </w:rPr>
  </w:style>
  <w:style w:type="character" w:styleId="Hyperlink">
    <w:name w:val="Hyperlink"/>
    <w:basedOn w:val="DefaultParagraphFont"/>
    <w:uiPriority w:val="99"/>
    <w:rsid w:val="00A51341"/>
    <w:rPr>
      <w:rFonts w:cs="Times New Roman"/>
      <w:color w:val="0000FF"/>
      <w:u w:val="single"/>
    </w:rPr>
  </w:style>
  <w:style w:type="character" w:customStyle="1" w:styleId="documentbody1">
    <w:name w:val="documentbody1"/>
    <w:uiPriority w:val="99"/>
    <w:rsid w:val="00A51341"/>
    <w:rPr>
      <w:rFonts w:ascii="Verdana" w:hAnsi="Verdana"/>
      <w:sz w:val="19"/>
    </w:rPr>
  </w:style>
  <w:style w:type="character" w:customStyle="1" w:styleId="starpage1">
    <w:name w:val="starpage1"/>
    <w:uiPriority w:val="99"/>
    <w:rsid w:val="00A51341"/>
    <w:rPr>
      <w:b/>
      <w:i/>
      <w:color w:val="800080"/>
    </w:rPr>
  </w:style>
  <w:style w:type="paragraph" w:styleId="Header">
    <w:name w:val="header"/>
    <w:basedOn w:val="Normal"/>
    <w:link w:val="HeaderChar"/>
    <w:uiPriority w:val="99"/>
    <w:rsid w:val="00A5134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51341"/>
    <w:pPr>
      <w:tabs>
        <w:tab w:val="center" w:pos="4320"/>
        <w:tab w:val="right" w:pos="8640"/>
      </w:tabs>
    </w:pPr>
  </w:style>
  <w:style w:type="character" w:customStyle="1" w:styleId="FooterChar">
    <w:name w:val="Footer Char"/>
    <w:basedOn w:val="DefaultParagraphFont"/>
    <w:link w:val="Footer"/>
    <w:uiPriority w:val="99"/>
    <w:locked/>
    <w:rsid w:val="000826F0"/>
    <w:rPr>
      <w:rFonts w:cs="Times New Roman"/>
      <w:sz w:val="24"/>
      <w:szCs w:val="24"/>
    </w:rPr>
  </w:style>
  <w:style w:type="character" w:customStyle="1" w:styleId="informationalsmall4">
    <w:name w:val="informationalsmall4"/>
    <w:uiPriority w:val="99"/>
    <w:rsid w:val="00A51341"/>
    <w:rPr>
      <w:rFonts w:ascii="Verdana" w:hAnsi="Verdana"/>
      <w:sz w:val="14"/>
    </w:rPr>
  </w:style>
  <w:style w:type="character" w:styleId="Strong">
    <w:name w:val="Strong"/>
    <w:basedOn w:val="DefaultParagraphFont"/>
    <w:uiPriority w:val="99"/>
    <w:qFormat/>
    <w:rsid w:val="00A51341"/>
    <w:rPr>
      <w:rFonts w:cs="Times New Roman"/>
      <w:b/>
    </w:rPr>
  </w:style>
  <w:style w:type="paragraph" w:styleId="BodyText2">
    <w:name w:val="Body Text 2"/>
    <w:basedOn w:val="Normal"/>
    <w:link w:val="BodyText2Char"/>
    <w:uiPriority w:val="99"/>
    <w:rsid w:val="00A51341"/>
    <w:pPr>
      <w:spacing w:line="480" w:lineRule="auto"/>
      <w:ind w:right="-72"/>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alloonText">
    <w:name w:val="Balloon Text"/>
    <w:basedOn w:val="Normal"/>
    <w:link w:val="BalloonTextChar"/>
    <w:uiPriority w:val="99"/>
    <w:semiHidden/>
    <w:rsid w:val="00A513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A51341"/>
    <w:rPr>
      <w:rFonts w:cs="Times New Roman"/>
    </w:rPr>
  </w:style>
  <w:style w:type="paragraph" w:styleId="ListParagraph">
    <w:name w:val="List Paragraph"/>
    <w:basedOn w:val="Normal"/>
    <w:uiPriority w:val="99"/>
    <w:qFormat/>
    <w:rsid w:val="00A51341"/>
    <w:pPr>
      <w:ind w:left="720"/>
      <w:contextualSpacing/>
    </w:pPr>
  </w:style>
  <w:style w:type="character" w:styleId="Emphasis">
    <w:name w:val="Emphasis"/>
    <w:basedOn w:val="DefaultParagraphFont"/>
    <w:uiPriority w:val="99"/>
    <w:qFormat/>
    <w:rsid w:val="00D04D25"/>
    <w:rPr>
      <w:rFonts w:cs="Times New Roman"/>
      <w:i/>
      <w:iCs/>
    </w:rPr>
  </w:style>
  <w:style w:type="character" w:customStyle="1" w:styleId="UnresolvedMention1">
    <w:name w:val="Unresolved Mention1"/>
    <w:basedOn w:val="DefaultParagraphFont"/>
    <w:uiPriority w:val="99"/>
    <w:semiHidden/>
    <w:rsid w:val="00FC7A83"/>
    <w:rPr>
      <w:rFonts w:cs="Times New Roman"/>
      <w:color w:val="808080"/>
      <w:shd w:val="clear" w:color="auto" w:fill="E6E6E6"/>
    </w:rPr>
  </w:style>
  <w:style w:type="paragraph" w:customStyle="1" w:styleId="FootnoteTex">
    <w:name w:val="Footnote Tex"/>
    <w:uiPriority w:val="99"/>
    <w:rsid w:val="00230296"/>
    <w:pPr>
      <w:autoSpaceDE w:val="0"/>
      <w:autoSpaceDN w:val="0"/>
      <w:adjustRightInd w:val="0"/>
    </w:pPr>
    <w:rPr>
      <w:sz w:val="24"/>
      <w:szCs w:val="24"/>
    </w:rPr>
  </w:style>
  <w:style w:type="paragraph" w:styleId="TOC1">
    <w:name w:val="toc 1"/>
    <w:basedOn w:val="Normal"/>
    <w:next w:val="Normal"/>
    <w:autoRedefine/>
    <w:uiPriority w:val="99"/>
    <w:rsid w:val="00230296"/>
    <w:pPr>
      <w:spacing w:after="100"/>
    </w:pPr>
  </w:style>
  <w:style w:type="paragraph" w:styleId="TOC2">
    <w:name w:val="toc 2"/>
    <w:basedOn w:val="Normal"/>
    <w:next w:val="Normal"/>
    <w:autoRedefine/>
    <w:uiPriority w:val="99"/>
    <w:rsid w:val="00230296"/>
    <w:pPr>
      <w:spacing w:after="100"/>
      <w:ind w:left="240"/>
    </w:pPr>
  </w:style>
  <w:style w:type="paragraph" w:styleId="TOAHeading">
    <w:name w:val="toa heading"/>
    <w:basedOn w:val="Normal"/>
    <w:next w:val="Normal"/>
    <w:uiPriority w:val="99"/>
    <w:rsid w:val="00230296"/>
    <w:pPr>
      <w:spacing w:before="120"/>
    </w:pPr>
    <w:rPr>
      <w:rFonts w:ascii="Calibri Light" w:hAnsi="Calibri Light"/>
      <w:b/>
      <w:bCs/>
    </w:rPr>
  </w:style>
  <w:style w:type="paragraph" w:styleId="TableofAuthorities">
    <w:name w:val="table of authorities"/>
    <w:basedOn w:val="Normal"/>
    <w:next w:val="Normal"/>
    <w:uiPriority w:val="99"/>
    <w:rsid w:val="00230296"/>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74459">
      <w:marLeft w:val="0"/>
      <w:marRight w:val="0"/>
      <w:marTop w:val="0"/>
      <w:marBottom w:val="0"/>
      <w:divBdr>
        <w:top w:val="none" w:sz="0" w:space="0" w:color="auto"/>
        <w:left w:val="none" w:sz="0" w:space="0" w:color="auto"/>
        <w:bottom w:val="none" w:sz="0" w:space="0" w:color="auto"/>
        <w:right w:val="none" w:sz="0" w:space="0" w:color="auto"/>
      </w:divBdr>
      <w:divsChild>
        <w:div w:id="1965574473">
          <w:marLeft w:val="0"/>
          <w:marRight w:val="0"/>
          <w:marTop w:val="0"/>
          <w:marBottom w:val="0"/>
          <w:divBdr>
            <w:top w:val="none" w:sz="0" w:space="0" w:color="auto"/>
            <w:left w:val="none" w:sz="0" w:space="0" w:color="auto"/>
            <w:bottom w:val="none" w:sz="0" w:space="0" w:color="auto"/>
            <w:right w:val="none" w:sz="0" w:space="0" w:color="auto"/>
          </w:divBdr>
          <w:divsChild>
            <w:div w:id="19655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464">
      <w:marLeft w:val="0"/>
      <w:marRight w:val="0"/>
      <w:marTop w:val="0"/>
      <w:marBottom w:val="0"/>
      <w:divBdr>
        <w:top w:val="none" w:sz="0" w:space="0" w:color="auto"/>
        <w:left w:val="none" w:sz="0" w:space="0" w:color="auto"/>
        <w:bottom w:val="none" w:sz="0" w:space="0" w:color="auto"/>
        <w:right w:val="none" w:sz="0" w:space="0" w:color="auto"/>
      </w:divBdr>
    </w:div>
    <w:div w:id="1965574477">
      <w:marLeft w:val="0"/>
      <w:marRight w:val="0"/>
      <w:marTop w:val="0"/>
      <w:marBottom w:val="0"/>
      <w:divBdr>
        <w:top w:val="none" w:sz="0" w:space="0" w:color="auto"/>
        <w:left w:val="none" w:sz="0" w:space="0" w:color="auto"/>
        <w:bottom w:val="none" w:sz="0" w:space="0" w:color="auto"/>
        <w:right w:val="none" w:sz="0" w:space="0" w:color="auto"/>
      </w:divBdr>
    </w:div>
    <w:div w:id="1965574478">
      <w:marLeft w:val="0"/>
      <w:marRight w:val="0"/>
      <w:marTop w:val="0"/>
      <w:marBottom w:val="0"/>
      <w:divBdr>
        <w:top w:val="none" w:sz="0" w:space="0" w:color="auto"/>
        <w:left w:val="none" w:sz="0" w:space="0" w:color="auto"/>
        <w:bottom w:val="none" w:sz="0" w:space="0" w:color="auto"/>
        <w:right w:val="none" w:sz="0" w:space="0" w:color="auto"/>
      </w:divBdr>
      <w:divsChild>
        <w:div w:id="1965574470">
          <w:marLeft w:val="0"/>
          <w:marRight w:val="0"/>
          <w:marTop w:val="0"/>
          <w:marBottom w:val="0"/>
          <w:divBdr>
            <w:top w:val="none" w:sz="0" w:space="0" w:color="auto"/>
            <w:left w:val="none" w:sz="0" w:space="0" w:color="auto"/>
            <w:bottom w:val="none" w:sz="0" w:space="0" w:color="auto"/>
            <w:right w:val="none" w:sz="0" w:space="0" w:color="auto"/>
          </w:divBdr>
          <w:divsChild>
            <w:div w:id="19655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479">
      <w:marLeft w:val="0"/>
      <w:marRight w:val="0"/>
      <w:marTop w:val="0"/>
      <w:marBottom w:val="0"/>
      <w:divBdr>
        <w:top w:val="none" w:sz="0" w:space="0" w:color="auto"/>
        <w:left w:val="none" w:sz="0" w:space="0" w:color="auto"/>
        <w:bottom w:val="none" w:sz="0" w:space="0" w:color="auto"/>
        <w:right w:val="none" w:sz="0" w:space="0" w:color="auto"/>
      </w:divBdr>
    </w:div>
    <w:div w:id="1965574480">
      <w:marLeft w:val="0"/>
      <w:marRight w:val="0"/>
      <w:marTop w:val="0"/>
      <w:marBottom w:val="0"/>
      <w:divBdr>
        <w:top w:val="none" w:sz="0" w:space="0" w:color="auto"/>
        <w:left w:val="none" w:sz="0" w:space="0" w:color="auto"/>
        <w:bottom w:val="none" w:sz="0" w:space="0" w:color="auto"/>
        <w:right w:val="none" w:sz="0" w:space="0" w:color="auto"/>
      </w:divBdr>
    </w:div>
    <w:div w:id="1965574481">
      <w:marLeft w:val="0"/>
      <w:marRight w:val="0"/>
      <w:marTop w:val="0"/>
      <w:marBottom w:val="0"/>
      <w:divBdr>
        <w:top w:val="none" w:sz="0" w:space="0" w:color="auto"/>
        <w:left w:val="none" w:sz="0" w:space="0" w:color="auto"/>
        <w:bottom w:val="none" w:sz="0" w:space="0" w:color="auto"/>
        <w:right w:val="none" w:sz="0" w:space="0" w:color="auto"/>
      </w:divBdr>
      <w:divsChild>
        <w:div w:id="1965574455">
          <w:marLeft w:val="0"/>
          <w:marRight w:val="0"/>
          <w:marTop w:val="240"/>
          <w:marBottom w:val="0"/>
          <w:divBdr>
            <w:top w:val="none" w:sz="0" w:space="0" w:color="auto"/>
            <w:left w:val="none" w:sz="0" w:space="0" w:color="auto"/>
            <w:bottom w:val="none" w:sz="0" w:space="0" w:color="auto"/>
            <w:right w:val="none" w:sz="0" w:space="0" w:color="auto"/>
          </w:divBdr>
          <w:divsChild>
            <w:div w:id="1965574482">
              <w:marLeft w:val="0"/>
              <w:marRight w:val="0"/>
              <w:marTop w:val="0"/>
              <w:marBottom w:val="0"/>
              <w:divBdr>
                <w:top w:val="none" w:sz="0" w:space="0" w:color="auto"/>
                <w:left w:val="none" w:sz="0" w:space="0" w:color="auto"/>
                <w:bottom w:val="none" w:sz="0" w:space="0" w:color="auto"/>
                <w:right w:val="none" w:sz="0" w:space="0" w:color="auto"/>
              </w:divBdr>
            </w:div>
            <w:div w:id="1965574484">
              <w:marLeft w:val="0"/>
              <w:marRight w:val="0"/>
              <w:marTop w:val="240"/>
              <w:marBottom w:val="0"/>
              <w:divBdr>
                <w:top w:val="none" w:sz="0" w:space="0" w:color="auto"/>
                <w:left w:val="none" w:sz="0" w:space="0" w:color="auto"/>
                <w:bottom w:val="none" w:sz="0" w:space="0" w:color="auto"/>
                <w:right w:val="none" w:sz="0" w:space="0" w:color="auto"/>
              </w:divBdr>
              <w:divsChild>
                <w:div w:id="1965574460">
                  <w:marLeft w:val="0"/>
                  <w:marRight w:val="0"/>
                  <w:marTop w:val="0"/>
                  <w:marBottom w:val="0"/>
                  <w:divBdr>
                    <w:top w:val="none" w:sz="0" w:space="0" w:color="auto"/>
                    <w:left w:val="none" w:sz="0" w:space="0" w:color="auto"/>
                    <w:bottom w:val="none" w:sz="0" w:space="0" w:color="auto"/>
                    <w:right w:val="none" w:sz="0" w:space="0" w:color="auto"/>
                  </w:divBdr>
                  <w:divsChild>
                    <w:div w:id="1965574469">
                      <w:marLeft w:val="600"/>
                      <w:marRight w:val="600"/>
                      <w:marTop w:val="60"/>
                      <w:marBottom w:val="60"/>
                      <w:divBdr>
                        <w:top w:val="none" w:sz="0" w:space="0" w:color="auto"/>
                        <w:left w:val="none" w:sz="0" w:space="0" w:color="auto"/>
                        <w:bottom w:val="none" w:sz="0" w:space="0" w:color="auto"/>
                        <w:right w:val="none" w:sz="0" w:space="0" w:color="auto"/>
                      </w:divBdr>
                      <w:divsChild>
                        <w:div w:id="19655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4471">
          <w:marLeft w:val="0"/>
          <w:marRight w:val="0"/>
          <w:marTop w:val="240"/>
          <w:marBottom w:val="0"/>
          <w:divBdr>
            <w:top w:val="none" w:sz="0" w:space="0" w:color="auto"/>
            <w:left w:val="none" w:sz="0" w:space="0" w:color="auto"/>
            <w:bottom w:val="none" w:sz="0" w:space="0" w:color="auto"/>
            <w:right w:val="none" w:sz="0" w:space="0" w:color="auto"/>
          </w:divBdr>
          <w:divsChild>
            <w:div w:id="1965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487">
      <w:marLeft w:val="0"/>
      <w:marRight w:val="0"/>
      <w:marTop w:val="0"/>
      <w:marBottom w:val="0"/>
      <w:divBdr>
        <w:top w:val="none" w:sz="0" w:space="0" w:color="auto"/>
        <w:left w:val="none" w:sz="0" w:space="0" w:color="auto"/>
        <w:bottom w:val="none" w:sz="0" w:space="0" w:color="auto"/>
        <w:right w:val="none" w:sz="0" w:space="0" w:color="auto"/>
      </w:divBdr>
      <w:divsChild>
        <w:div w:id="1965574475">
          <w:marLeft w:val="0"/>
          <w:marRight w:val="0"/>
          <w:marTop w:val="240"/>
          <w:marBottom w:val="0"/>
          <w:divBdr>
            <w:top w:val="none" w:sz="0" w:space="0" w:color="auto"/>
            <w:left w:val="none" w:sz="0" w:space="0" w:color="auto"/>
            <w:bottom w:val="none" w:sz="0" w:space="0" w:color="auto"/>
            <w:right w:val="none" w:sz="0" w:space="0" w:color="auto"/>
          </w:divBdr>
          <w:divsChild>
            <w:div w:id="1965574483">
              <w:marLeft w:val="0"/>
              <w:marRight w:val="0"/>
              <w:marTop w:val="0"/>
              <w:marBottom w:val="0"/>
              <w:divBdr>
                <w:top w:val="none" w:sz="0" w:space="0" w:color="auto"/>
                <w:left w:val="none" w:sz="0" w:space="0" w:color="auto"/>
                <w:bottom w:val="none" w:sz="0" w:space="0" w:color="auto"/>
                <w:right w:val="none" w:sz="0" w:space="0" w:color="auto"/>
              </w:divBdr>
            </w:div>
          </w:divsChild>
        </w:div>
        <w:div w:id="1965574485">
          <w:marLeft w:val="0"/>
          <w:marRight w:val="0"/>
          <w:marTop w:val="240"/>
          <w:marBottom w:val="0"/>
          <w:divBdr>
            <w:top w:val="none" w:sz="0" w:space="0" w:color="auto"/>
            <w:left w:val="none" w:sz="0" w:space="0" w:color="auto"/>
            <w:bottom w:val="none" w:sz="0" w:space="0" w:color="auto"/>
            <w:right w:val="none" w:sz="0" w:space="0" w:color="auto"/>
          </w:divBdr>
          <w:divsChild>
            <w:div w:id="1965574468">
              <w:marLeft w:val="0"/>
              <w:marRight w:val="0"/>
              <w:marTop w:val="0"/>
              <w:marBottom w:val="0"/>
              <w:divBdr>
                <w:top w:val="none" w:sz="0" w:space="0" w:color="auto"/>
                <w:left w:val="none" w:sz="0" w:space="0" w:color="auto"/>
                <w:bottom w:val="none" w:sz="0" w:space="0" w:color="auto"/>
                <w:right w:val="none" w:sz="0" w:space="0" w:color="auto"/>
              </w:divBdr>
            </w:div>
            <w:div w:id="1965574474">
              <w:marLeft w:val="0"/>
              <w:marRight w:val="0"/>
              <w:marTop w:val="240"/>
              <w:marBottom w:val="0"/>
              <w:divBdr>
                <w:top w:val="none" w:sz="0" w:space="0" w:color="auto"/>
                <w:left w:val="none" w:sz="0" w:space="0" w:color="auto"/>
                <w:bottom w:val="none" w:sz="0" w:space="0" w:color="auto"/>
                <w:right w:val="none" w:sz="0" w:space="0" w:color="auto"/>
              </w:divBdr>
              <w:divsChild>
                <w:div w:id="1965574472">
                  <w:marLeft w:val="0"/>
                  <w:marRight w:val="0"/>
                  <w:marTop w:val="0"/>
                  <w:marBottom w:val="0"/>
                  <w:divBdr>
                    <w:top w:val="none" w:sz="0" w:space="0" w:color="auto"/>
                    <w:left w:val="none" w:sz="0" w:space="0" w:color="auto"/>
                    <w:bottom w:val="none" w:sz="0" w:space="0" w:color="auto"/>
                    <w:right w:val="none" w:sz="0" w:space="0" w:color="auto"/>
                  </w:divBdr>
                  <w:divsChild>
                    <w:div w:id="1965574463">
                      <w:marLeft w:val="600"/>
                      <w:marRight w:val="600"/>
                      <w:marTop w:val="60"/>
                      <w:marBottom w:val="60"/>
                      <w:divBdr>
                        <w:top w:val="none" w:sz="0" w:space="0" w:color="auto"/>
                        <w:left w:val="none" w:sz="0" w:space="0" w:color="auto"/>
                        <w:bottom w:val="none" w:sz="0" w:space="0" w:color="auto"/>
                        <w:right w:val="none" w:sz="0" w:space="0" w:color="auto"/>
                      </w:divBdr>
                      <w:divsChild>
                        <w:div w:id="19655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74488">
      <w:marLeft w:val="0"/>
      <w:marRight w:val="0"/>
      <w:marTop w:val="0"/>
      <w:marBottom w:val="0"/>
      <w:divBdr>
        <w:top w:val="none" w:sz="0" w:space="0" w:color="auto"/>
        <w:left w:val="none" w:sz="0" w:space="0" w:color="auto"/>
        <w:bottom w:val="none" w:sz="0" w:space="0" w:color="auto"/>
        <w:right w:val="none" w:sz="0" w:space="0" w:color="auto"/>
      </w:divBdr>
      <w:divsChild>
        <w:div w:id="1965574476">
          <w:marLeft w:val="0"/>
          <w:marRight w:val="0"/>
          <w:marTop w:val="0"/>
          <w:marBottom w:val="0"/>
          <w:divBdr>
            <w:top w:val="none" w:sz="0" w:space="0" w:color="auto"/>
            <w:left w:val="none" w:sz="0" w:space="0" w:color="auto"/>
            <w:bottom w:val="none" w:sz="0" w:space="0" w:color="auto"/>
            <w:right w:val="none" w:sz="0" w:space="0" w:color="auto"/>
          </w:divBdr>
          <w:divsChild>
            <w:div w:id="19655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489">
      <w:marLeft w:val="0"/>
      <w:marRight w:val="0"/>
      <w:marTop w:val="0"/>
      <w:marBottom w:val="0"/>
      <w:divBdr>
        <w:top w:val="none" w:sz="0" w:space="0" w:color="auto"/>
        <w:left w:val="none" w:sz="0" w:space="0" w:color="auto"/>
        <w:bottom w:val="none" w:sz="0" w:space="0" w:color="auto"/>
        <w:right w:val="none" w:sz="0" w:space="0" w:color="auto"/>
      </w:divBdr>
      <w:divsChild>
        <w:div w:id="1965574458">
          <w:marLeft w:val="0"/>
          <w:marRight w:val="0"/>
          <w:marTop w:val="240"/>
          <w:marBottom w:val="0"/>
          <w:divBdr>
            <w:top w:val="none" w:sz="0" w:space="0" w:color="auto"/>
            <w:left w:val="none" w:sz="0" w:space="0" w:color="auto"/>
            <w:bottom w:val="none" w:sz="0" w:space="0" w:color="auto"/>
            <w:right w:val="none" w:sz="0" w:space="0" w:color="auto"/>
          </w:divBdr>
          <w:divsChild>
            <w:div w:id="1965574454">
              <w:marLeft w:val="0"/>
              <w:marRight w:val="0"/>
              <w:marTop w:val="240"/>
              <w:marBottom w:val="0"/>
              <w:divBdr>
                <w:top w:val="none" w:sz="0" w:space="0" w:color="auto"/>
                <w:left w:val="none" w:sz="0" w:space="0" w:color="auto"/>
                <w:bottom w:val="none" w:sz="0" w:space="0" w:color="auto"/>
                <w:right w:val="none" w:sz="0" w:space="0" w:color="auto"/>
              </w:divBdr>
              <w:divsChild>
                <w:div w:id="1965574465">
                  <w:marLeft w:val="0"/>
                  <w:marRight w:val="0"/>
                  <w:marTop w:val="0"/>
                  <w:marBottom w:val="0"/>
                  <w:divBdr>
                    <w:top w:val="none" w:sz="0" w:space="0" w:color="auto"/>
                    <w:left w:val="none" w:sz="0" w:space="0" w:color="auto"/>
                    <w:bottom w:val="none" w:sz="0" w:space="0" w:color="auto"/>
                    <w:right w:val="none" w:sz="0" w:space="0" w:color="auto"/>
                  </w:divBdr>
                  <w:divsChild>
                    <w:div w:id="1965574462">
                      <w:marLeft w:val="600"/>
                      <w:marRight w:val="600"/>
                      <w:marTop w:val="60"/>
                      <w:marBottom w:val="60"/>
                      <w:divBdr>
                        <w:top w:val="none" w:sz="0" w:space="0" w:color="auto"/>
                        <w:left w:val="none" w:sz="0" w:space="0" w:color="auto"/>
                        <w:bottom w:val="none" w:sz="0" w:space="0" w:color="auto"/>
                        <w:right w:val="none" w:sz="0" w:space="0" w:color="auto"/>
                      </w:divBdr>
                      <w:divsChild>
                        <w:div w:id="1965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4494">
              <w:marLeft w:val="0"/>
              <w:marRight w:val="0"/>
              <w:marTop w:val="0"/>
              <w:marBottom w:val="0"/>
              <w:divBdr>
                <w:top w:val="none" w:sz="0" w:space="0" w:color="auto"/>
                <w:left w:val="none" w:sz="0" w:space="0" w:color="auto"/>
                <w:bottom w:val="none" w:sz="0" w:space="0" w:color="auto"/>
                <w:right w:val="none" w:sz="0" w:space="0" w:color="auto"/>
              </w:divBdr>
            </w:div>
          </w:divsChild>
        </w:div>
        <w:div w:id="1965574466">
          <w:marLeft w:val="0"/>
          <w:marRight w:val="0"/>
          <w:marTop w:val="240"/>
          <w:marBottom w:val="0"/>
          <w:divBdr>
            <w:top w:val="none" w:sz="0" w:space="0" w:color="auto"/>
            <w:left w:val="none" w:sz="0" w:space="0" w:color="auto"/>
            <w:bottom w:val="none" w:sz="0" w:space="0" w:color="auto"/>
            <w:right w:val="none" w:sz="0" w:space="0" w:color="auto"/>
          </w:divBdr>
          <w:divsChild>
            <w:div w:id="19655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491">
      <w:marLeft w:val="0"/>
      <w:marRight w:val="0"/>
      <w:marTop w:val="0"/>
      <w:marBottom w:val="0"/>
      <w:divBdr>
        <w:top w:val="none" w:sz="0" w:space="0" w:color="auto"/>
        <w:left w:val="none" w:sz="0" w:space="0" w:color="auto"/>
        <w:bottom w:val="none" w:sz="0" w:space="0" w:color="auto"/>
        <w:right w:val="none" w:sz="0" w:space="0" w:color="auto"/>
      </w:divBdr>
    </w:div>
    <w:div w:id="1965574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2735</Words>
  <Characters>17493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vt:lpstr>
    </vt:vector>
  </TitlesOfParts>
  <Company>Nielsen, Broman &amp; Koch</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Jennifer Winkler</dc:creator>
  <cp:keywords/>
  <dc:description/>
  <cp:lastModifiedBy>Debbie Coplen</cp:lastModifiedBy>
  <cp:revision>2</cp:revision>
  <cp:lastPrinted>2018-08-10T22:27:00Z</cp:lastPrinted>
  <dcterms:created xsi:type="dcterms:W3CDTF">2024-03-16T01:01:00Z</dcterms:created>
  <dcterms:modified xsi:type="dcterms:W3CDTF">2024-03-16T01:01:00Z</dcterms:modified>
</cp:coreProperties>
</file>